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23" w:rsidRDefault="00C70A23" w:rsidP="00C70A23">
      <w:pPr>
        <w:jc w:val="center"/>
        <w:rPr>
          <w:b/>
          <w:bCs/>
          <w:sz w:val="40"/>
          <w:szCs w:val="80"/>
        </w:rPr>
      </w:pPr>
    </w:p>
    <w:p w:rsidR="00C70A23" w:rsidRDefault="00C70A23" w:rsidP="00C70A23">
      <w:pPr>
        <w:jc w:val="center"/>
        <w:rPr>
          <w:b/>
          <w:bCs/>
          <w:sz w:val="40"/>
          <w:szCs w:val="80"/>
        </w:rPr>
      </w:pPr>
    </w:p>
    <w:p w:rsidR="00C70A23" w:rsidRDefault="00C70A23" w:rsidP="00C70A23">
      <w:pPr>
        <w:jc w:val="center"/>
        <w:rPr>
          <w:b/>
          <w:bCs/>
          <w:sz w:val="40"/>
          <w:szCs w:val="80"/>
        </w:rPr>
      </w:pPr>
    </w:p>
    <w:p w:rsidR="00C70A23" w:rsidRDefault="00C70A23" w:rsidP="00C70A23">
      <w:pPr>
        <w:jc w:val="center"/>
        <w:rPr>
          <w:b/>
          <w:bCs/>
          <w:sz w:val="40"/>
          <w:szCs w:val="80"/>
        </w:rPr>
      </w:pPr>
    </w:p>
    <w:p w:rsidR="00C70A23" w:rsidRDefault="00C70A23" w:rsidP="00C70A23">
      <w:pPr>
        <w:jc w:val="center"/>
        <w:rPr>
          <w:b/>
          <w:bCs/>
          <w:sz w:val="40"/>
          <w:szCs w:val="80"/>
        </w:rPr>
      </w:pPr>
    </w:p>
    <w:p w:rsidR="00C70A23" w:rsidRPr="00C539A0" w:rsidRDefault="00C70A23" w:rsidP="00C70A23">
      <w:pPr>
        <w:jc w:val="center"/>
        <w:rPr>
          <w:b/>
          <w:bCs/>
          <w:sz w:val="40"/>
          <w:szCs w:val="80"/>
        </w:rPr>
      </w:pPr>
    </w:p>
    <w:p w:rsidR="00C70A23" w:rsidRDefault="00C70A23" w:rsidP="00C70A23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Pracovní list</w:t>
      </w:r>
    </w:p>
    <w:p w:rsidR="00C70A23" w:rsidRDefault="00C70A23" w:rsidP="00C70A23">
      <w:pPr>
        <w:jc w:val="center"/>
        <w:rPr>
          <w:b/>
          <w:bCs/>
          <w:sz w:val="44"/>
          <w:szCs w:val="52"/>
        </w:rPr>
      </w:pPr>
    </w:p>
    <w:p w:rsidR="00C70A23" w:rsidRDefault="00C70A23" w:rsidP="00C70A23">
      <w:pPr>
        <w:jc w:val="center"/>
        <w:rPr>
          <w:b/>
          <w:bCs/>
          <w:sz w:val="48"/>
          <w:szCs w:val="52"/>
        </w:rPr>
      </w:pPr>
    </w:p>
    <w:p w:rsidR="00C70A23" w:rsidRDefault="00C70A23" w:rsidP="00C70A23">
      <w:pPr>
        <w:jc w:val="center"/>
        <w:rPr>
          <w:b/>
          <w:bCs/>
          <w:sz w:val="48"/>
          <w:szCs w:val="52"/>
        </w:rPr>
      </w:pPr>
    </w:p>
    <w:p w:rsidR="00C70A23" w:rsidRDefault="00C70A23" w:rsidP="00C70A23">
      <w:pPr>
        <w:jc w:val="center"/>
        <w:rPr>
          <w:b/>
          <w:bCs/>
          <w:sz w:val="48"/>
          <w:szCs w:val="52"/>
        </w:rPr>
      </w:pPr>
    </w:p>
    <w:p w:rsidR="00C70A23" w:rsidRPr="00917DB6" w:rsidRDefault="00C70A23" w:rsidP="00C70A23">
      <w:pPr>
        <w:jc w:val="center"/>
        <w:rPr>
          <w:b/>
          <w:bCs/>
          <w:sz w:val="48"/>
          <w:szCs w:val="52"/>
        </w:rPr>
      </w:pPr>
    </w:p>
    <w:p w:rsidR="00C70A23" w:rsidRPr="007F7CB1" w:rsidRDefault="00C70A23" w:rsidP="00C70A23">
      <w:pPr>
        <w:spacing w:after="1080"/>
        <w:jc w:val="center"/>
        <w:rPr>
          <w:b/>
          <w:bCs/>
          <w:sz w:val="52"/>
          <w:szCs w:val="64"/>
        </w:rPr>
      </w:pPr>
      <w:r w:rsidRPr="007F7CB1">
        <w:rPr>
          <w:b/>
          <w:bCs/>
          <w:sz w:val="52"/>
          <w:szCs w:val="64"/>
        </w:rPr>
        <w:t>Praktická cvičení</w:t>
      </w:r>
    </w:p>
    <w:p w:rsidR="00C70A23" w:rsidRDefault="00C70A23" w:rsidP="00C70A2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Zapojení elektroinstalačních prvků</w:t>
      </w:r>
    </w:p>
    <w:p w:rsidR="00C70A23" w:rsidRDefault="00C70A23" w:rsidP="00C70A23">
      <w:pPr>
        <w:jc w:val="center"/>
        <w:rPr>
          <w:b/>
          <w:bCs/>
          <w:sz w:val="40"/>
        </w:rPr>
      </w:pPr>
    </w:p>
    <w:p w:rsidR="00C70A23" w:rsidRDefault="00C70A23" w:rsidP="00C70A23">
      <w:pPr>
        <w:jc w:val="center"/>
        <w:rPr>
          <w:b/>
          <w:bCs/>
          <w:sz w:val="40"/>
        </w:rPr>
      </w:pPr>
    </w:p>
    <w:p w:rsidR="00C70A23" w:rsidRDefault="00C70A23" w:rsidP="00C70A23">
      <w:pPr>
        <w:jc w:val="center"/>
        <w:rPr>
          <w:b/>
          <w:bCs/>
          <w:sz w:val="40"/>
        </w:rPr>
      </w:pPr>
    </w:p>
    <w:p w:rsidR="00C70A23" w:rsidRDefault="00C70A23" w:rsidP="00C70A23">
      <w:pPr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237"/>
        <w:gridCol w:w="3238"/>
      </w:tblGrid>
      <w:tr w:rsidR="00C70A23" w:rsidTr="0032532B">
        <w:trPr>
          <w:trHeight w:val="335"/>
        </w:trPr>
        <w:tc>
          <w:tcPr>
            <w:tcW w:w="9498" w:type="dxa"/>
            <w:gridSpan w:val="3"/>
            <w:shd w:val="clear" w:color="auto" w:fill="auto"/>
          </w:tcPr>
          <w:p w:rsidR="00C70A23" w:rsidRPr="00177B32" w:rsidRDefault="00C70A23" w:rsidP="0032532B">
            <w:pPr>
              <w:pStyle w:val="Obsahtabulky"/>
              <w:rPr>
                <w:rFonts w:asciiTheme="minorHAnsi" w:hAnsiTheme="minorHAnsi" w:cstheme="minorHAnsi"/>
              </w:rPr>
            </w:pPr>
            <w:r w:rsidRPr="00177B32">
              <w:rPr>
                <w:rFonts w:asciiTheme="minorHAnsi" w:hAnsiTheme="minorHAnsi" w:cstheme="minorHAnsi"/>
              </w:rPr>
              <w:t>Vypracoval žák:</w:t>
            </w:r>
          </w:p>
        </w:tc>
      </w:tr>
      <w:tr w:rsidR="00C70A23" w:rsidTr="0032532B">
        <w:trPr>
          <w:trHeight w:val="423"/>
        </w:trPr>
        <w:tc>
          <w:tcPr>
            <w:tcW w:w="3023" w:type="dxa"/>
            <w:shd w:val="clear" w:color="auto" w:fill="auto"/>
          </w:tcPr>
          <w:p w:rsidR="00C70A23" w:rsidRPr="00177B32" w:rsidRDefault="00C70A23" w:rsidP="0032532B">
            <w:pPr>
              <w:pStyle w:val="Obsahtabulky"/>
              <w:rPr>
                <w:rFonts w:asciiTheme="minorHAnsi" w:hAnsiTheme="minorHAnsi" w:cstheme="minorHAnsi"/>
              </w:rPr>
            </w:pPr>
            <w:r w:rsidRPr="00177B32">
              <w:rPr>
                <w:rFonts w:asciiTheme="minorHAnsi" w:hAnsiTheme="minorHAnsi" w:cstheme="minorHAnsi"/>
              </w:rPr>
              <w:t xml:space="preserve">Jméno, příjmení </w:t>
            </w:r>
          </w:p>
        </w:tc>
        <w:tc>
          <w:tcPr>
            <w:tcW w:w="3237" w:type="dxa"/>
            <w:shd w:val="clear" w:color="auto" w:fill="auto"/>
          </w:tcPr>
          <w:p w:rsidR="00C70A23" w:rsidRPr="00177B32" w:rsidRDefault="00C70A23" w:rsidP="0032532B">
            <w:pPr>
              <w:pStyle w:val="Obsahtabulky"/>
              <w:rPr>
                <w:rFonts w:asciiTheme="minorHAnsi" w:hAnsiTheme="minorHAnsi" w:cstheme="minorHAnsi"/>
              </w:rPr>
            </w:pPr>
            <w:r w:rsidRPr="00177B32">
              <w:rPr>
                <w:rFonts w:asciiTheme="minorHAnsi" w:hAnsiTheme="minorHAnsi" w:cstheme="minorHAnsi"/>
              </w:rPr>
              <w:t>Datum vypracování</w:t>
            </w:r>
          </w:p>
        </w:tc>
        <w:tc>
          <w:tcPr>
            <w:tcW w:w="3238" w:type="dxa"/>
            <w:shd w:val="clear" w:color="auto" w:fill="auto"/>
          </w:tcPr>
          <w:p w:rsidR="00C70A23" w:rsidRPr="00177B32" w:rsidRDefault="00C70A23" w:rsidP="0032532B">
            <w:pPr>
              <w:pStyle w:val="Obsahtabulky"/>
              <w:rPr>
                <w:rFonts w:asciiTheme="minorHAnsi" w:hAnsiTheme="minorHAnsi" w:cstheme="minorHAnsi"/>
              </w:rPr>
            </w:pPr>
            <w:r w:rsidRPr="00177B32">
              <w:rPr>
                <w:rFonts w:asciiTheme="minorHAnsi" w:hAnsiTheme="minorHAnsi" w:cstheme="minorHAnsi"/>
              </w:rPr>
              <w:t>Datum odevzdání</w:t>
            </w:r>
          </w:p>
        </w:tc>
      </w:tr>
      <w:tr w:rsidR="00C70A23" w:rsidTr="0032532B">
        <w:trPr>
          <w:trHeight w:val="425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A23" w:rsidRPr="00177B32" w:rsidRDefault="00C70A23" w:rsidP="0032532B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A23" w:rsidRPr="00177B32" w:rsidRDefault="00C70A23" w:rsidP="0032532B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A23" w:rsidRPr="00177B32" w:rsidRDefault="00C70A23" w:rsidP="0032532B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C70A23" w:rsidTr="0032532B">
        <w:trPr>
          <w:trHeight w:val="425"/>
        </w:trPr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A23" w:rsidRDefault="00C70A23" w:rsidP="0032532B">
            <w:pPr>
              <w:pStyle w:val="Obsahtabulky"/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A23" w:rsidRDefault="00C70A23" w:rsidP="0032532B">
            <w:pPr>
              <w:pStyle w:val="Obsahtabulky"/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0A23" w:rsidRDefault="00C70A23" w:rsidP="0032532B">
            <w:pPr>
              <w:pStyle w:val="Obsahtabulky"/>
            </w:pPr>
          </w:p>
        </w:tc>
      </w:tr>
    </w:tbl>
    <w:p w:rsidR="00C70A23" w:rsidRDefault="00C70A23" w:rsidP="00C70A23"/>
    <w:p w:rsidR="00C70A23" w:rsidRDefault="00C70A23" w:rsidP="00C70A23">
      <w:pPr>
        <w:spacing w:line="360" w:lineRule="auto"/>
        <w:jc w:val="both"/>
        <w:rPr>
          <w:b/>
          <w:bCs/>
        </w:rPr>
      </w:pPr>
    </w:p>
    <w:p w:rsidR="00C70A23" w:rsidRDefault="00C70A23" w:rsidP="00C70A23">
      <w:pPr>
        <w:spacing w:line="360" w:lineRule="auto"/>
        <w:jc w:val="both"/>
        <w:rPr>
          <w:b/>
          <w:bCs/>
        </w:rPr>
      </w:pPr>
    </w:p>
    <w:p w:rsidR="00C70A23" w:rsidRPr="00B702F8" w:rsidRDefault="00C70A23" w:rsidP="00C70A23">
      <w:pPr>
        <w:pStyle w:val="Nadpis1"/>
      </w:pPr>
      <w:r>
        <w:t>Zadání</w:t>
      </w:r>
    </w:p>
    <w:p w:rsidR="00C70A23" w:rsidRDefault="00C70A23" w:rsidP="00C70A23">
      <w:pPr>
        <w:spacing w:line="360" w:lineRule="auto"/>
        <w:jc w:val="both"/>
        <w:rPr>
          <w:bCs/>
          <w:sz w:val="24"/>
          <w:szCs w:val="28"/>
        </w:rPr>
      </w:pPr>
      <w:r w:rsidRPr="001C0805">
        <w:rPr>
          <w:bCs/>
          <w:sz w:val="24"/>
          <w:szCs w:val="28"/>
        </w:rPr>
        <w:t>Seznamte se s</w:t>
      </w:r>
      <w:r>
        <w:rPr>
          <w:bCs/>
          <w:sz w:val="24"/>
          <w:szCs w:val="28"/>
        </w:rPr>
        <w:t>e základními činnostmi s vybraným elektroinstalačním materiálem v rozvodné soustavě TN-S</w:t>
      </w:r>
      <w:r w:rsidRPr="001C0805">
        <w:rPr>
          <w:bCs/>
          <w:sz w:val="24"/>
          <w:szCs w:val="28"/>
        </w:rPr>
        <w:t xml:space="preserve"> </w:t>
      </w:r>
    </w:p>
    <w:p w:rsidR="00C70A23" w:rsidRDefault="00C70A23" w:rsidP="00C70A23">
      <w:pPr>
        <w:pStyle w:val="Odstavecseseznamem"/>
        <w:numPr>
          <w:ilvl w:val="0"/>
          <w:numId w:val="7"/>
        </w:numPr>
        <w:spacing w:line="36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zásuvkové vývody</w:t>
      </w:r>
    </w:p>
    <w:p w:rsidR="00C70A23" w:rsidRDefault="00C70A23" w:rsidP="00C70A23">
      <w:pPr>
        <w:pStyle w:val="Odstavecseseznamem"/>
        <w:numPr>
          <w:ilvl w:val="0"/>
          <w:numId w:val="7"/>
        </w:numPr>
        <w:spacing w:line="36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světelné vývody</w:t>
      </w:r>
    </w:p>
    <w:p w:rsidR="00C70A23" w:rsidRPr="00AC271D" w:rsidRDefault="00C70A23" w:rsidP="00C70A23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  <w:bCs/>
          <w:sz w:val="26"/>
          <w:szCs w:val="26"/>
        </w:rPr>
      </w:pPr>
      <w:r w:rsidRPr="00AC271D">
        <w:rPr>
          <w:bCs/>
          <w:sz w:val="24"/>
          <w:szCs w:val="28"/>
        </w:rPr>
        <w:t>použití přepěťové ochrany</w:t>
      </w:r>
    </w:p>
    <w:p w:rsidR="00C70A23" w:rsidRPr="001C0805" w:rsidRDefault="00C70A23" w:rsidP="00C70A23">
      <w:pPr>
        <w:pStyle w:val="Nadpis1"/>
        <w:rPr>
          <w:rStyle w:val="Nadpis1Char"/>
          <w:b/>
          <w:bCs/>
        </w:rPr>
      </w:pPr>
      <w:r w:rsidRPr="001C0805">
        <w:rPr>
          <w:rStyle w:val="Nadpis1Char"/>
        </w:rPr>
        <w:t>Pomůcky</w:t>
      </w:r>
    </w:p>
    <w:p w:rsidR="00C70A23" w:rsidRDefault="00C70A23" w:rsidP="00C70A23">
      <w:pPr>
        <w:spacing w:line="36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elektrotechnické n</w:t>
      </w:r>
      <w:r w:rsidRPr="001C0805">
        <w:rPr>
          <w:bCs/>
          <w:sz w:val="24"/>
          <w:szCs w:val="28"/>
        </w:rPr>
        <w:t>ářadí (štípací kleště, kleště na odizolování vodičů, sada šroubováků</w:t>
      </w:r>
      <w:r>
        <w:rPr>
          <w:bCs/>
          <w:sz w:val="24"/>
          <w:szCs w:val="28"/>
        </w:rPr>
        <w:t xml:space="preserve">,…) </w:t>
      </w:r>
    </w:p>
    <w:p w:rsidR="00C70A23" w:rsidRDefault="00C70A23" w:rsidP="00C70A23">
      <w:pPr>
        <w:spacing w:line="360" w:lineRule="auto"/>
        <w:jc w:val="both"/>
        <w:rPr>
          <w:b/>
          <w:bCs/>
        </w:rPr>
      </w:pPr>
      <w:r>
        <w:rPr>
          <w:bCs/>
          <w:sz w:val="24"/>
          <w:szCs w:val="28"/>
        </w:rPr>
        <w:t>elektroinstalační materiál</w:t>
      </w:r>
    </w:p>
    <w:p w:rsidR="00C70A23" w:rsidRPr="001C0805" w:rsidRDefault="00C70A23" w:rsidP="00C70A23">
      <w:pPr>
        <w:pStyle w:val="Nadpis1"/>
        <w:rPr>
          <w:rStyle w:val="Nadpis1Char"/>
          <w:b/>
        </w:rPr>
      </w:pPr>
      <w:r w:rsidRPr="001C0805">
        <w:rPr>
          <w:rStyle w:val="Nadpis1Char"/>
        </w:rPr>
        <w:t>Teoretický rozbor</w:t>
      </w:r>
      <w:r>
        <w:rPr>
          <w:rStyle w:val="Nadpis1Char"/>
        </w:rPr>
        <w:t xml:space="preserve"> a podklady pro procvičování</w:t>
      </w:r>
    </w:p>
    <w:p w:rsidR="00C70A23" w:rsidRPr="002F25CD" w:rsidRDefault="00C70A23" w:rsidP="00C70A23">
      <w:pPr>
        <w:spacing w:before="240" w:after="240" w:line="360" w:lineRule="auto"/>
        <w:jc w:val="both"/>
        <w:rPr>
          <w:bCs/>
          <w:kern w:val="36"/>
          <w:sz w:val="24"/>
          <w:lang w:eastAsia="cs-CZ"/>
        </w:rPr>
      </w:pPr>
      <w:r w:rsidRPr="002F25CD">
        <w:rPr>
          <w:bCs/>
          <w:kern w:val="36"/>
          <w:sz w:val="24"/>
          <w:lang w:eastAsia="cs-CZ"/>
        </w:rPr>
        <w:t xml:space="preserve">Způsob připojení elektrického zařízení k rozvodné síti musí primárně řešit </w:t>
      </w:r>
      <w:r w:rsidRPr="002F25CD">
        <w:rPr>
          <w:b/>
          <w:bCs/>
          <w:kern w:val="36"/>
          <w:sz w:val="24"/>
          <w:lang w:eastAsia="cs-CZ"/>
        </w:rPr>
        <w:t>elektrotechnická dokumentace</w:t>
      </w:r>
      <w:r w:rsidRPr="002F25CD">
        <w:rPr>
          <w:bCs/>
          <w:kern w:val="36"/>
          <w:sz w:val="24"/>
          <w:lang w:eastAsia="cs-CZ"/>
        </w:rPr>
        <w:t xml:space="preserve"> dodávaná k elektrickému zařízení jeho výrobcem</w:t>
      </w:r>
      <w:r>
        <w:rPr>
          <w:bCs/>
          <w:kern w:val="36"/>
          <w:sz w:val="24"/>
          <w:lang w:eastAsia="cs-CZ"/>
        </w:rPr>
        <w:t xml:space="preserve"> nebo projektantem</w:t>
      </w:r>
      <w:r w:rsidRPr="002F25CD">
        <w:rPr>
          <w:bCs/>
          <w:kern w:val="36"/>
          <w:sz w:val="24"/>
          <w:lang w:eastAsia="cs-CZ"/>
        </w:rPr>
        <w:t>. Zapojení instalace v místnosti, objektu je předmětem projektové dokumentace. Pro elektrické instalace realizované nebo modernizované po roce 2000 se používá rozvodná soustava TN-S (obrázek 1). Ve starších  objektech se můžeme setkat se soustavou TN-C</w:t>
      </w:r>
      <w:r>
        <w:rPr>
          <w:bCs/>
          <w:kern w:val="36"/>
          <w:sz w:val="24"/>
          <w:lang w:eastAsia="cs-CZ"/>
        </w:rPr>
        <w:t xml:space="preserve"> nebo TN-C-S</w:t>
      </w:r>
      <w:r w:rsidRPr="002F25CD">
        <w:rPr>
          <w:bCs/>
          <w:kern w:val="36"/>
          <w:sz w:val="24"/>
          <w:lang w:eastAsia="cs-CZ"/>
        </w:rPr>
        <w:t>.</w:t>
      </w:r>
    </w:p>
    <w:p w:rsidR="00C70A23" w:rsidRPr="009460A1" w:rsidRDefault="00C70A23" w:rsidP="00C70A23">
      <w:pPr>
        <w:suppressAutoHyphens w:val="0"/>
        <w:rPr>
          <w:rFonts w:ascii="Arial Black" w:hAnsi="Arial Black"/>
          <w:sz w:val="28"/>
          <w:szCs w:val="28"/>
        </w:rPr>
      </w:pPr>
      <w:r w:rsidRPr="005F41B5">
        <w:rPr>
          <w:rFonts w:ascii="Arial Black" w:hAnsi="Arial Black"/>
          <w:noProof/>
          <w:sz w:val="28"/>
          <w:szCs w:val="28"/>
          <w:lang w:eastAsia="cs-CZ"/>
        </w:rPr>
        <w:lastRenderedPageBreak/>
        <w:drawing>
          <wp:inline distT="0" distB="0" distL="0" distR="0" wp14:anchorId="22DBE81A" wp14:editId="6963F2C0">
            <wp:extent cx="5518206" cy="3399745"/>
            <wp:effectExtent l="0" t="0" r="6350" b="0"/>
            <wp:docPr id="1434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Obrázek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80" cy="340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0A23" w:rsidRPr="009A4D96" w:rsidRDefault="00C70A23" w:rsidP="00C70A23">
      <w:pPr>
        <w:rPr>
          <w:sz w:val="24"/>
        </w:rPr>
      </w:pPr>
      <w:r w:rsidRPr="009A4D96">
        <w:rPr>
          <w:sz w:val="24"/>
        </w:rPr>
        <w:t>Obr. 1: Zapojení soustavy TN-S s naznačením živých a neživých částí zařízení</w:t>
      </w:r>
    </w:p>
    <w:p w:rsidR="00C70A23" w:rsidRDefault="00C70A23" w:rsidP="00C70A23">
      <w:pPr>
        <w:jc w:val="center"/>
        <w:rPr>
          <w:b/>
          <w:sz w:val="32"/>
        </w:rPr>
      </w:pPr>
    </w:p>
    <w:p w:rsidR="00C70A23" w:rsidRPr="00462B41" w:rsidRDefault="00C70A23" w:rsidP="00C70A23">
      <w:pPr>
        <w:spacing w:after="120" w:line="276" w:lineRule="auto"/>
        <w:jc w:val="both"/>
        <w:rPr>
          <w:sz w:val="24"/>
        </w:rPr>
      </w:pPr>
      <w:r w:rsidRPr="00462B41">
        <w:rPr>
          <w:sz w:val="24"/>
        </w:rPr>
        <w:t>Pro elektrické instal</w:t>
      </w:r>
      <w:r>
        <w:rPr>
          <w:sz w:val="24"/>
        </w:rPr>
        <w:t>a</w:t>
      </w:r>
      <w:r w:rsidRPr="00462B41">
        <w:rPr>
          <w:sz w:val="24"/>
        </w:rPr>
        <w:t>ce se v převážné většině používají v</w:t>
      </w:r>
      <w:r>
        <w:rPr>
          <w:sz w:val="24"/>
        </w:rPr>
        <w:t>o</w:t>
      </w:r>
      <w:r w:rsidRPr="00462B41">
        <w:rPr>
          <w:sz w:val="24"/>
        </w:rPr>
        <w:t>diče opatřené izolací. Jádro vodiče je vyrobeno z mědi (hliník se v dnešní době používá výjimečně)</w:t>
      </w:r>
      <w:r>
        <w:rPr>
          <w:sz w:val="24"/>
        </w:rPr>
        <w:t>, Měděné jádro vodiče je:</w:t>
      </w:r>
    </w:p>
    <w:p w:rsidR="00C70A23" w:rsidRPr="00462B41" w:rsidRDefault="00C70A23" w:rsidP="00C70A23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sz w:val="24"/>
        </w:rPr>
      </w:pPr>
      <w:r w:rsidRPr="00462B41">
        <w:rPr>
          <w:sz w:val="24"/>
        </w:rPr>
        <w:t>z plného materiálu – vodič je vhodný pro pevné instalace</w:t>
      </w:r>
    </w:p>
    <w:p w:rsidR="00C70A23" w:rsidRPr="00462B41" w:rsidRDefault="00C70A23" w:rsidP="00C70A23">
      <w:pPr>
        <w:pStyle w:val="Odstavecseseznamem"/>
        <w:numPr>
          <w:ilvl w:val="0"/>
          <w:numId w:val="2"/>
        </w:numPr>
        <w:spacing w:after="120" w:line="276" w:lineRule="auto"/>
        <w:jc w:val="both"/>
        <w:rPr>
          <w:sz w:val="24"/>
        </w:rPr>
      </w:pPr>
      <w:r w:rsidRPr="00462B41">
        <w:rPr>
          <w:sz w:val="24"/>
        </w:rPr>
        <w:t>tvořeno lankem – vodič je vhodný pro pohyblivé připojení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I</w:t>
      </w:r>
      <w:r w:rsidRPr="00462B41">
        <w:rPr>
          <w:sz w:val="24"/>
        </w:rPr>
        <w:t>zolace vodiče</w:t>
      </w:r>
      <w:r>
        <w:rPr>
          <w:sz w:val="24"/>
        </w:rPr>
        <w:t xml:space="preserve"> zajiš</w:t>
      </w:r>
      <w:r w:rsidRPr="00462B41">
        <w:rPr>
          <w:sz w:val="24"/>
        </w:rPr>
        <w:t>ťuje ochranu před nebezpečným dotykem</w:t>
      </w:r>
      <w:r>
        <w:rPr>
          <w:sz w:val="24"/>
        </w:rPr>
        <w:t>. Aby tuto funkci správně plnila, musí splňovat určité parametry. Normy ČSN EN 61140 a ČSN 332000-4-41 definují požadavky bezpečnosti – ochraně před úrazem elektrickým proudem (nebezpečným dotykem s živými částmi zařízení) použitím dvou na sobě nezávislých opatření. To znamená kromě základní izolace použití přídavné</w:t>
      </w:r>
      <w:r w:rsidRPr="00462B41">
        <w:rPr>
          <w:sz w:val="24"/>
        </w:rPr>
        <w:t xml:space="preserve"> izolace,</w:t>
      </w:r>
      <w:r>
        <w:rPr>
          <w:sz w:val="24"/>
        </w:rPr>
        <w:t xml:space="preserve"> čímž vznikne izolace dvojitá.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Izolace umístěná na vodiči je zhotovena tak, že ji lze odstranit pouze destruktivním způsobem. To znamená odstraňovat izolaci na konci vodičů v délce odpovídající použitému spoji buď lisovanému (kabelové oko, konektor) nebo svorkovnici (šroubový spoj nebo </w:t>
      </w:r>
      <w:proofErr w:type="spellStart"/>
      <w:r>
        <w:rPr>
          <w:sz w:val="24"/>
        </w:rPr>
        <w:t>bezšroubý</w:t>
      </w:r>
      <w:proofErr w:type="spellEnd"/>
      <w:r>
        <w:rPr>
          <w:sz w:val="24"/>
        </w:rPr>
        <w:t xml:space="preserve"> spoj, který zajišťuje pružina svorky). Ukázka kleští pro odstranění izolace a jejich použití je na obrázku 2. U jednodušších si uživatel délku odizolování volí umístěním vodiče do kleští, u složitějších je nastavitelná zarážka určující délku odizolované části vodiče. Průměr vodiče, ze kterého se odstraňuje izolace, je dán lichoběžníkovým tvarem ostří nože. Mechanická konstrukce je výrobcem použita s ohledem na rozsah průměrů vodičů. Kleště lze obvykle použít i jako štípací.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noProof/>
          <w:sz w:val="24"/>
          <w:lang w:eastAsia="cs-CZ"/>
        </w:rPr>
        <w:lastRenderedPageBreak/>
        <w:drawing>
          <wp:inline distT="0" distB="0" distL="0" distR="0" wp14:anchorId="3A64B0A1" wp14:editId="43D8D426">
            <wp:extent cx="2856841" cy="1614115"/>
            <wp:effectExtent l="0" t="0" r="127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125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44" cy="161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cs-CZ"/>
        </w:rPr>
        <w:drawing>
          <wp:inline distT="0" distB="0" distL="0" distR="0" wp14:anchorId="704F9077" wp14:editId="37661D31">
            <wp:extent cx="2438400" cy="1618488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126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Obr. 2: Kleště pro odizolování vodiče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Barva izolace vodiče se používá k odlišení významu jednotlivých vodičů. Pro silnoproudé elektrické instalace je význam barev následující:</w:t>
      </w:r>
    </w:p>
    <w:p w:rsidR="00C70A23" w:rsidRPr="000C181A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0C181A">
        <w:rPr>
          <w:sz w:val="24"/>
        </w:rPr>
        <w:t>fázové vodiče L1, L2, L3: hnědá černá, šedá; barva se použije k odlišení jednotlivých fází</w:t>
      </w:r>
    </w:p>
    <w:p w:rsidR="00C70A23" w:rsidRPr="000C181A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0C181A">
        <w:rPr>
          <w:sz w:val="24"/>
        </w:rPr>
        <w:t>fázové vodiče L1, L2, L3: černá, hnědá – použito ve starších instalacích</w:t>
      </w:r>
    </w:p>
    <w:p w:rsidR="00C70A23" w:rsidRPr="000C181A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0C181A">
        <w:rPr>
          <w:sz w:val="24"/>
        </w:rPr>
        <w:t xml:space="preserve">nulový nebo střední vodič: </w:t>
      </w:r>
      <w:r>
        <w:rPr>
          <w:sz w:val="24"/>
        </w:rPr>
        <w:t xml:space="preserve">barva </w:t>
      </w:r>
      <w:r w:rsidRPr="000C181A">
        <w:rPr>
          <w:sz w:val="24"/>
        </w:rPr>
        <w:t>světle modrá</w:t>
      </w:r>
    </w:p>
    <w:p w:rsidR="00C70A23" w:rsidRPr="000C181A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0C181A">
        <w:rPr>
          <w:sz w:val="24"/>
        </w:rPr>
        <w:t>ochranný vodič PE: barva zeleno/žlutá</w:t>
      </w:r>
    </w:p>
    <w:p w:rsidR="00C70A23" w:rsidRPr="000C181A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0C181A">
        <w:rPr>
          <w:sz w:val="24"/>
        </w:rPr>
        <w:t xml:space="preserve">ochranný a pracovní vodič PEN: izolace v celé délce zeleno/žlutá, na koncích </w:t>
      </w:r>
      <w:r>
        <w:rPr>
          <w:sz w:val="24"/>
        </w:rPr>
        <w:t>pře</w:t>
      </w:r>
      <w:r w:rsidRPr="000C181A">
        <w:rPr>
          <w:sz w:val="24"/>
        </w:rPr>
        <w:t>značení světle modré</w:t>
      </w:r>
    </w:p>
    <w:p w:rsidR="00C70A23" w:rsidRPr="000C181A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0C181A">
        <w:rPr>
          <w:sz w:val="24"/>
        </w:rPr>
        <w:t>pracovní uzemnění FE: barva zeleno/žlutá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Barva izolace zeleno/žlutá je vyhrazena pro ochranné a uzemňovací vodiče, nesmí se používat v jiném významu, nesmí se přeznačit. Aby nedošlo k znehodnocení funkce ochranného vodiče, nesmí se jistit. V případě zásuvkových spojů se ochranné obvody rozpojují jako poslední a spojují jako první.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Vodič s izolací světle modrou je možné použít i v jiném významu, než jako vodič nulový či střední. V zapojení elektroměru a spínacích hodin či HDO na něm může být fázové napětí.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Ukázka šroubových a </w:t>
      </w:r>
      <w:proofErr w:type="spellStart"/>
      <w:r>
        <w:rPr>
          <w:sz w:val="24"/>
        </w:rPr>
        <w:t>bezšroubých</w:t>
      </w:r>
      <w:proofErr w:type="spellEnd"/>
      <w:r>
        <w:rPr>
          <w:sz w:val="24"/>
        </w:rPr>
        <w:t xml:space="preserve"> svorek ukazují obrázky 3 a 4. V případě, že je vodič připojován na šroubovou svorku, umisťuje se vodič pod hlavu šroubu ve směru utahování šroubu. Do svorky se připojuje tolik vodičů, na kolik je svorka konstruována. Nově vyráběné zařízení a svorkovnice mívají </w:t>
      </w:r>
      <w:proofErr w:type="spellStart"/>
      <w:r>
        <w:rPr>
          <w:sz w:val="24"/>
        </w:rPr>
        <w:t>bezšroubové</w:t>
      </w:r>
      <w:proofErr w:type="spellEnd"/>
      <w:r>
        <w:rPr>
          <w:sz w:val="24"/>
        </w:rPr>
        <w:t xml:space="preserve"> svorky, kde vodivý spoj je zajištěn tlakem pružiny a vodič je možné odpojit tlakem nástroje na pružinu svorky.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 wp14:anchorId="637AB34C" wp14:editId="753D43EC">
            <wp:extent cx="2438400" cy="191109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129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Obr. 3: Šroubová svorka pro připojení dvou vodičů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noProof/>
          <w:sz w:val="24"/>
          <w:lang w:eastAsia="cs-CZ"/>
        </w:rPr>
        <w:drawing>
          <wp:inline distT="0" distB="0" distL="0" distR="0" wp14:anchorId="4A63A25B" wp14:editId="6B584D01">
            <wp:extent cx="1860605" cy="101403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135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780" cy="101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cs-CZ"/>
        </w:rPr>
        <w:drawing>
          <wp:inline distT="0" distB="0" distL="0" distR="0" wp14:anchorId="358F184C" wp14:editId="4DA3FC0B">
            <wp:extent cx="1751627" cy="1011564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137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631" cy="101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cs-CZ"/>
        </w:rPr>
        <w:drawing>
          <wp:inline distT="0" distB="0" distL="0" distR="0" wp14:anchorId="27090312" wp14:editId="1FC7918C">
            <wp:extent cx="1849829" cy="101509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4136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57" cy="10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Obr. 4: </w:t>
      </w:r>
      <w:proofErr w:type="spellStart"/>
      <w:r>
        <w:rPr>
          <w:sz w:val="24"/>
        </w:rPr>
        <w:t>Bezšroubé</w:t>
      </w:r>
      <w:proofErr w:type="spellEnd"/>
      <w:r>
        <w:rPr>
          <w:sz w:val="24"/>
        </w:rPr>
        <w:t xml:space="preserve"> svorky – fázové vodiče, ochranný vodič, nulový vodič 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Při zapojování zásuvkových obvodů používáme kabely se třemi vodiči (jednofázové zásuvky), resp. pěti vodiči (třífázové zásuvky). Pro pevné instalace se používají vodiče s plným jádrem, pro pohyblivé přívody se slaněným jádrem. Doporučené zapojení vodičů k jednofázové zásuvce je následující: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zásuvka se montuje tak, aby ochranný kolík byl nahoře. Fázový vodič se zapojuje k levé dutince – kontaktu, nulový vodič k pravé dutince. Norma připouští i opačné zapojení fázového a nulového vodiče. Nutné je dodržet jednotné zapojení u všech zásuvek v objektu.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Pro jištění elektrických instalací (vodičů a instalačních zařízení) proti přetížení a zkratu se používají pojistky a jističe s vhodnou vypínací charakteristikou. V současné době se používají převážně jističe, případně proudové chrániče s nadproudovou spouští, které v sobě sdružují jak funkci proudového chrániče, tak funkci jističe.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V obecném případě pro jištění vedení se používají jističe s vypínací charakteristikou B [vypínací proud </w:t>
      </w:r>
      <w:proofErr w:type="spellStart"/>
      <w:r>
        <w:rPr>
          <w:sz w:val="24"/>
        </w:rPr>
        <w:t>I</w:t>
      </w:r>
      <w:r w:rsidRPr="0051759E"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= (3 – 5)</w:t>
      </w:r>
      <w:proofErr w:type="spellStart"/>
      <w:r>
        <w:rPr>
          <w:sz w:val="24"/>
        </w:rPr>
        <w:t>I</w:t>
      </w:r>
      <w:r w:rsidRPr="0051759E">
        <w:rPr>
          <w:sz w:val="24"/>
          <w:vertAlign w:val="subscript"/>
        </w:rPr>
        <w:t>jm</w:t>
      </w:r>
      <w:proofErr w:type="spellEnd"/>
      <w:r>
        <w:rPr>
          <w:sz w:val="24"/>
        </w:rPr>
        <w:t>]. V případě kombinace spotřebičů s odporovým a indukčním charakterem zátěže se používá jistič s vypínací charakteristikou C [</w:t>
      </w:r>
      <w:proofErr w:type="spellStart"/>
      <w:r>
        <w:rPr>
          <w:sz w:val="24"/>
        </w:rPr>
        <w:t>I</w:t>
      </w:r>
      <w:r w:rsidRPr="0051759E"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= (5 – 10)</w:t>
      </w:r>
      <w:proofErr w:type="spellStart"/>
      <w:r>
        <w:rPr>
          <w:sz w:val="24"/>
        </w:rPr>
        <w:t>I</w:t>
      </w:r>
      <w:r w:rsidRPr="0051759E">
        <w:rPr>
          <w:sz w:val="24"/>
          <w:vertAlign w:val="subscript"/>
        </w:rPr>
        <w:t>jm</w:t>
      </w:r>
      <w:proofErr w:type="spellEnd"/>
      <w:r>
        <w:rPr>
          <w:sz w:val="24"/>
        </w:rPr>
        <w:t>] – obr. 5. V případě, že jsou na zásuvky připojeny spotřebiče s motory, transformátory nebo se spínanými zdroji je vhodné použít jistič s vypínací charakteristikou D [</w:t>
      </w:r>
      <w:proofErr w:type="spellStart"/>
      <w:r>
        <w:rPr>
          <w:sz w:val="24"/>
        </w:rPr>
        <w:t>I</w:t>
      </w:r>
      <w:r w:rsidRPr="0051759E">
        <w:rPr>
          <w:sz w:val="24"/>
          <w:vertAlign w:val="subscript"/>
        </w:rPr>
        <w:t>a</w:t>
      </w:r>
      <w:proofErr w:type="spellEnd"/>
      <w:r>
        <w:rPr>
          <w:sz w:val="24"/>
        </w:rPr>
        <w:t xml:space="preserve"> = (10 – 20)</w:t>
      </w:r>
      <w:proofErr w:type="spellStart"/>
      <w:r>
        <w:rPr>
          <w:sz w:val="24"/>
        </w:rPr>
        <w:t>I</w:t>
      </w:r>
      <w:r w:rsidRPr="0051759E">
        <w:rPr>
          <w:sz w:val="24"/>
          <w:vertAlign w:val="subscript"/>
        </w:rPr>
        <w:t>jm</w:t>
      </w:r>
      <w:proofErr w:type="spellEnd"/>
      <w:r>
        <w:rPr>
          <w:sz w:val="24"/>
        </w:rPr>
        <w:t>]. Podrobnější informace lze získat v ČSN EN 60898-1,2. Při použití zásuvky se jmenovitým proudem 16 A, se použije jistič se jmenovitým proudem 10 A nebo 16 A. Důležitý je také průřez použitých vodičů a způsob uložení. Podrobnosti lze nalézt v ČSN 33 2000-4-43, ČSN 33 2000-4-473 a ČSN 33 2130.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Norma ČSN 33 2000-4-41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3 předepisuje použití proudového chrániče u všech zásuvek do 20 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u světelných okruhů. Pro zajištění bezpečnosti je potřeba použít proudový chránič s reziduálním vybavovacím proudem max. 30 mA. Jmenovitý proud chrániče se volí s ohledem na jmenovitý proud jističe zapojeného v zásuvkovém vývodu. 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Typ chrániče se volí podle charakteru zátěže (ČSN EN 61 008, ČSN EN 62 423):</w:t>
      </w:r>
    </w:p>
    <w:p w:rsidR="00C70A23" w:rsidRPr="00905AF9" w:rsidRDefault="00C70A23" w:rsidP="00C70A23">
      <w:pPr>
        <w:numPr>
          <w:ilvl w:val="0"/>
          <w:numId w:val="10"/>
        </w:numPr>
        <w:suppressAutoHyphens w:val="0"/>
        <w:spacing w:after="120"/>
        <w:jc w:val="both"/>
        <w:rPr>
          <w:rFonts w:asciiTheme="minorHAnsi" w:hAnsiTheme="minorHAnsi" w:cstheme="minorHAnsi"/>
          <w:sz w:val="24"/>
        </w:rPr>
      </w:pPr>
      <w:r w:rsidRPr="003160F9">
        <w:rPr>
          <w:rFonts w:asciiTheme="minorHAnsi" w:hAnsiTheme="minorHAnsi" w:cstheme="minorHAnsi"/>
          <w:bCs/>
          <w:sz w:val="24"/>
        </w:rPr>
        <w:t>Proudové chrániče typu AC</w:t>
      </w:r>
      <w:r w:rsidRPr="00905AF9">
        <w:rPr>
          <w:rFonts w:asciiTheme="minorHAnsi" w:hAnsiTheme="minorHAnsi" w:cstheme="minorHAnsi"/>
          <w:sz w:val="24"/>
        </w:rPr>
        <w:t xml:space="preserve"> jsou určeny jen</w:t>
      </w:r>
      <w:r>
        <w:rPr>
          <w:rFonts w:asciiTheme="minorHAnsi" w:hAnsiTheme="minorHAnsi" w:cstheme="minorHAnsi"/>
          <w:sz w:val="24"/>
        </w:rPr>
        <w:t xml:space="preserve"> pro střídavé reziduální proudy;</w:t>
      </w:r>
    </w:p>
    <w:p w:rsidR="00C70A23" w:rsidRPr="00905AF9" w:rsidRDefault="00C70A23" w:rsidP="00C70A23">
      <w:pPr>
        <w:numPr>
          <w:ilvl w:val="0"/>
          <w:numId w:val="10"/>
        </w:numPr>
        <w:suppressAutoHyphens w:val="0"/>
        <w:spacing w:after="120"/>
        <w:jc w:val="both"/>
        <w:rPr>
          <w:rFonts w:asciiTheme="minorHAnsi" w:hAnsiTheme="minorHAnsi" w:cstheme="minorHAnsi"/>
          <w:sz w:val="24"/>
        </w:rPr>
      </w:pPr>
      <w:r w:rsidRPr="003160F9">
        <w:rPr>
          <w:rFonts w:asciiTheme="minorHAnsi" w:hAnsiTheme="minorHAnsi" w:cstheme="minorHAnsi"/>
          <w:bCs/>
          <w:sz w:val="24"/>
        </w:rPr>
        <w:t>Proudové chrániče typu A</w:t>
      </w:r>
      <w:r w:rsidRPr="00905AF9">
        <w:rPr>
          <w:rFonts w:asciiTheme="minorHAnsi" w:hAnsiTheme="minorHAnsi" w:cstheme="minorHAnsi"/>
          <w:sz w:val="24"/>
        </w:rPr>
        <w:t xml:space="preserve"> pro střídavé a pulzující stejnosměrné reziduální proudy</w:t>
      </w:r>
      <w:r>
        <w:rPr>
          <w:rFonts w:asciiTheme="minorHAnsi" w:hAnsiTheme="minorHAnsi" w:cstheme="minorHAnsi"/>
          <w:sz w:val="24"/>
        </w:rPr>
        <w:t>;</w:t>
      </w:r>
    </w:p>
    <w:p w:rsidR="00C70A23" w:rsidRPr="003160F9" w:rsidRDefault="00C70A23" w:rsidP="00C70A23">
      <w:pPr>
        <w:numPr>
          <w:ilvl w:val="0"/>
          <w:numId w:val="10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3160F9">
        <w:rPr>
          <w:rFonts w:asciiTheme="minorHAnsi" w:hAnsiTheme="minorHAnsi" w:cstheme="minorHAnsi"/>
          <w:bCs/>
          <w:sz w:val="24"/>
        </w:rPr>
        <w:t>Proudové chrániče typu F</w:t>
      </w:r>
      <w:r w:rsidRPr="00905AF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vychází z typu</w:t>
      </w:r>
      <w:r w:rsidRPr="00905AF9">
        <w:rPr>
          <w:rFonts w:asciiTheme="minorHAnsi" w:hAnsiTheme="minorHAnsi" w:cstheme="minorHAnsi"/>
          <w:sz w:val="24"/>
        </w:rPr>
        <w:t xml:space="preserve"> A</w:t>
      </w:r>
      <w:r>
        <w:rPr>
          <w:rFonts w:asciiTheme="minorHAnsi" w:hAnsiTheme="minorHAnsi" w:cstheme="minorHAnsi"/>
          <w:sz w:val="24"/>
        </w:rPr>
        <w:t>; u</w:t>
      </w:r>
      <w:r w:rsidRPr="00905AF9">
        <w:rPr>
          <w:rFonts w:asciiTheme="minorHAnsi" w:hAnsiTheme="minorHAnsi" w:cstheme="minorHAnsi"/>
          <w:sz w:val="24"/>
        </w:rPr>
        <w:t>praven</w:t>
      </w:r>
      <w:r>
        <w:rPr>
          <w:rFonts w:asciiTheme="minorHAnsi" w:hAnsiTheme="minorHAnsi" w:cstheme="minorHAnsi"/>
          <w:sz w:val="24"/>
        </w:rPr>
        <w:t>a</w:t>
      </w:r>
      <w:r w:rsidRPr="00905AF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je </w:t>
      </w:r>
      <w:r w:rsidRPr="00905AF9">
        <w:rPr>
          <w:rFonts w:asciiTheme="minorHAnsi" w:hAnsiTheme="minorHAnsi" w:cstheme="minorHAnsi"/>
          <w:sz w:val="24"/>
        </w:rPr>
        <w:t>frekvenční charakteristik</w:t>
      </w:r>
      <w:r>
        <w:rPr>
          <w:rFonts w:asciiTheme="minorHAnsi" w:hAnsiTheme="minorHAnsi" w:cstheme="minorHAnsi"/>
          <w:sz w:val="24"/>
        </w:rPr>
        <w:t>a (citlivost na vysoké frekvence);</w:t>
      </w:r>
    </w:p>
    <w:p w:rsidR="00C70A23" w:rsidRPr="00B26433" w:rsidRDefault="00C70A23" w:rsidP="00C70A23">
      <w:pPr>
        <w:numPr>
          <w:ilvl w:val="0"/>
          <w:numId w:val="10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 w:rsidRPr="003160F9">
        <w:rPr>
          <w:rFonts w:asciiTheme="minorHAnsi" w:hAnsiTheme="minorHAnsi" w:cstheme="minorHAnsi"/>
          <w:bCs/>
          <w:sz w:val="24"/>
        </w:rPr>
        <w:t>Proudové chrániče typu B</w:t>
      </w:r>
      <w:r w:rsidRPr="00905AF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jsou určeny </w:t>
      </w:r>
      <w:r w:rsidRPr="00905AF9">
        <w:rPr>
          <w:rFonts w:asciiTheme="minorHAnsi" w:hAnsiTheme="minorHAnsi" w:cstheme="minorHAnsi"/>
          <w:sz w:val="24"/>
        </w:rPr>
        <w:t xml:space="preserve">pro všechny druhy reziduálních proudů </w:t>
      </w:r>
      <w:r>
        <w:rPr>
          <w:rFonts w:asciiTheme="minorHAnsi" w:hAnsiTheme="minorHAnsi" w:cstheme="minorHAnsi"/>
          <w:sz w:val="24"/>
        </w:rPr>
        <w:t>(</w:t>
      </w:r>
      <w:r w:rsidRPr="00905AF9">
        <w:rPr>
          <w:rFonts w:asciiTheme="minorHAnsi" w:hAnsiTheme="minorHAnsi" w:cstheme="minorHAnsi"/>
          <w:sz w:val="24"/>
        </w:rPr>
        <w:t>střídavé, pulzující ste</w:t>
      </w:r>
      <w:r>
        <w:rPr>
          <w:rFonts w:asciiTheme="minorHAnsi" w:hAnsiTheme="minorHAnsi" w:cstheme="minorHAnsi"/>
          <w:sz w:val="24"/>
        </w:rPr>
        <w:t>jnosměrné a hladké stejnosměrné).</w:t>
      </w:r>
      <w:r w:rsidRPr="00905AF9">
        <w:rPr>
          <w:rFonts w:asciiTheme="minorHAnsi" w:hAnsiTheme="minorHAnsi" w:cstheme="minorHAnsi"/>
          <w:sz w:val="24"/>
        </w:rPr>
        <w:t xml:space="preserve"> </w:t>
      </w:r>
    </w:p>
    <w:p w:rsidR="00C70A23" w:rsidRDefault="00C70A23" w:rsidP="00C70A23">
      <w:pPr>
        <w:spacing w:after="120" w:line="276" w:lineRule="auto"/>
        <w:rPr>
          <w:sz w:val="24"/>
        </w:rPr>
      </w:pPr>
      <w:r>
        <w:rPr>
          <w:sz w:val="24"/>
        </w:rPr>
        <w:lastRenderedPageBreak/>
        <w:t xml:space="preserve">Citace z normy: </w:t>
      </w:r>
    </w:p>
    <w:p w:rsidR="00C70A23" w:rsidRPr="00177B32" w:rsidRDefault="00C70A23" w:rsidP="00C70A23">
      <w:pPr>
        <w:spacing w:after="120" w:line="276" w:lineRule="auto"/>
        <w:rPr>
          <w:i/>
          <w:sz w:val="24"/>
        </w:rPr>
      </w:pPr>
      <w:r w:rsidRPr="00177B32">
        <w:rPr>
          <w:i/>
          <w:sz w:val="24"/>
        </w:rPr>
        <w:t>Doplňková ochrana proudovým chráničem s  I</w:t>
      </w:r>
      <w:r w:rsidRPr="00177B32">
        <w:rPr>
          <w:rFonts w:ascii="Symbol" w:hAnsi="Symbol"/>
          <w:i/>
          <w:sz w:val="24"/>
          <w:vertAlign w:val="subscript"/>
        </w:rPr>
        <w:t></w:t>
      </w:r>
      <w:r w:rsidRPr="00177B32">
        <w:rPr>
          <w:i/>
          <w:sz w:val="24"/>
          <w:vertAlign w:val="subscript"/>
        </w:rPr>
        <w:t>N</w:t>
      </w:r>
      <w:r w:rsidRPr="00177B32">
        <w:rPr>
          <w:i/>
          <w:sz w:val="24"/>
        </w:rPr>
        <w:t xml:space="preserve"> </w:t>
      </w:r>
      <w:r w:rsidRPr="00177B32">
        <w:rPr>
          <w:rFonts w:ascii="Symbol" w:hAnsi="Symbol"/>
          <w:i/>
          <w:sz w:val="24"/>
        </w:rPr>
        <w:t></w:t>
      </w:r>
      <w:r w:rsidRPr="00177B32">
        <w:rPr>
          <w:i/>
          <w:sz w:val="24"/>
        </w:rPr>
        <w:t xml:space="preserve"> 30 mA se používá pro:</w:t>
      </w:r>
    </w:p>
    <w:p w:rsidR="00C70A23" w:rsidRPr="00D178F8" w:rsidRDefault="00C70A23" w:rsidP="00C70A23">
      <w:pPr>
        <w:numPr>
          <w:ilvl w:val="1"/>
          <w:numId w:val="4"/>
        </w:numPr>
        <w:tabs>
          <w:tab w:val="clear" w:pos="1440"/>
        </w:tabs>
        <w:spacing w:after="120" w:line="276" w:lineRule="auto"/>
        <w:ind w:left="567"/>
        <w:jc w:val="both"/>
        <w:rPr>
          <w:i/>
          <w:sz w:val="24"/>
        </w:rPr>
      </w:pPr>
      <w:r w:rsidRPr="00D178F8">
        <w:rPr>
          <w:i/>
          <w:sz w:val="24"/>
        </w:rPr>
        <w:t xml:space="preserve">Zásuvky pro všeobecné použití, užívané laiky se jmenovitým proudem zásuvky </w:t>
      </w:r>
      <w:proofErr w:type="spellStart"/>
      <w:r w:rsidRPr="00D178F8">
        <w:rPr>
          <w:i/>
          <w:sz w:val="24"/>
        </w:rPr>
        <w:t>I</w:t>
      </w:r>
      <w:r w:rsidRPr="00D178F8">
        <w:rPr>
          <w:i/>
          <w:sz w:val="24"/>
          <w:vertAlign w:val="subscript"/>
        </w:rPr>
        <w:t>jm</w:t>
      </w:r>
      <w:proofErr w:type="spellEnd"/>
      <w:r w:rsidRPr="00D178F8">
        <w:rPr>
          <w:i/>
          <w:sz w:val="24"/>
        </w:rPr>
        <w:t xml:space="preserve"> </w:t>
      </w:r>
      <w:r w:rsidRPr="00D178F8">
        <w:rPr>
          <w:rFonts w:ascii="Symbol" w:hAnsi="Symbol"/>
          <w:i/>
          <w:sz w:val="24"/>
        </w:rPr>
        <w:t></w:t>
      </w:r>
      <w:r w:rsidRPr="00D178F8">
        <w:rPr>
          <w:i/>
          <w:sz w:val="24"/>
        </w:rPr>
        <w:t xml:space="preserve"> 20 A s výjimkou:</w:t>
      </w:r>
    </w:p>
    <w:p w:rsidR="00C70A23" w:rsidRPr="00D178F8" w:rsidRDefault="00C70A23" w:rsidP="00C70A23">
      <w:pPr>
        <w:numPr>
          <w:ilvl w:val="2"/>
          <w:numId w:val="5"/>
        </w:numPr>
        <w:tabs>
          <w:tab w:val="clear" w:pos="2160"/>
          <w:tab w:val="num" w:pos="1560"/>
        </w:tabs>
        <w:spacing w:after="120" w:line="276" w:lineRule="auto"/>
        <w:ind w:left="1418"/>
        <w:jc w:val="both"/>
        <w:rPr>
          <w:i/>
          <w:sz w:val="24"/>
        </w:rPr>
      </w:pPr>
      <w:r w:rsidRPr="00D178F8">
        <w:rPr>
          <w:i/>
          <w:sz w:val="24"/>
        </w:rPr>
        <w:t>Zásuvky pod dozorem osoby znalé/poučené</w:t>
      </w:r>
    </w:p>
    <w:p w:rsidR="00C70A23" w:rsidRPr="00D178F8" w:rsidRDefault="00C70A23" w:rsidP="00C70A23">
      <w:pPr>
        <w:numPr>
          <w:ilvl w:val="2"/>
          <w:numId w:val="5"/>
        </w:numPr>
        <w:tabs>
          <w:tab w:val="clear" w:pos="2160"/>
          <w:tab w:val="num" w:pos="1560"/>
        </w:tabs>
        <w:spacing w:after="120" w:line="276" w:lineRule="auto"/>
        <w:ind w:left="1418"/>
        <w:jc w:val="both"/>
        <w:rPr>
          <w:i/>
          <w:sz w:val="24"/>
        </w:rPr>
      </w:pPr>
      <w:r w:rsidRPr="00D178F8">
        <w:rPr>
          <w:i/>
          <w:sz w:val="24"/>
        </w:rPr>
        <w:t>Zvláštní zásuvky pro speciální použití</w:t>
      </w:r>
    </w:p>
    <w:p w:rsidR="00C70A23" w:rsidRPr="00D178F8" w:rsidRDefault="00C70A23" w:rsidP="00C70A23">
      <w:pPr>
        <w:numPr>
          <w:ilvl w:val="1"/>
          <w:numId w:val="4"/>
        </w:numPr>
        <w:tabs>
          <w:tab w:val="clear" w:pos="1440"/>
        </w:tabs>
        <w:spacing w:after="120" w:line="276" w:lineRule="auto"/>
        <w:ind w:left="567"/>
        <w:jc w:val="both"/>
        <w:rPr>
          <w:i/>
          <w:sz w:val="24"/>
        </w:rPr>
      </w:pPr>
      <w:r w:rsidRPr="00D178F8">
        <w:rPr>
          <w:i/>
          <w:sz w:val="24"/>
        </w:rPr>
        <w:t xml:space="preserve">Mobilní zařízení určené pro venkovní použití s  </w:t>
      </w:r>
      <w:proofErr w:type="spellStart"/>
      <w:r w:rsidRPr="00D178F8">
        <w:rPr>
          <w:i/>
          <w:sz w:val="24"/>
        </w:rPr>
        <w:t>I</w:t>
      </w:r>
      <w:r w:rsidRPr="00D178F8">
        <w:rPr>
          <w:i/>
          <w:sz w:val="24"/>
          <w:vertAlign w:val="subscript"/>
        </w:rPr>
        <w:t>jm</w:t>
      </w:r>
      <w:proofErr w:type="spellEnd"/>
      <w:r w:rsidRPr="00D178F8">
        <w:rPr>
          <w:i/>
          <w:sz w:val="24"/>
        </w:rPr>
        <w:t xml:space="preserve"> </w:t>
      </w:r>
      <w:r w:rsidRPr="00D178F8">
        <w:rPr>
          <w:rFonts w:ascii="Symbol" w:hAnsi="Symbol"/>
          <w:i/>
          <w:sz w:val="24"/>
        </w:rPr>
        <w:t></w:t>
      </w:r>
      <w:r w:rsidRPr="00D178F8">
        <w:rPr>
          <w:i/>
          <w:sz w:val="24"/>
        </w:rPr>
        <w:t xml:space="preserve"> 32 A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 w:rsidRPr="002650BF">
        <w:rPr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462770B1" wp14:editId="721AFF0E">
            <wp:simplePos x="0" y="0"/>
            <wp:positionH relativeFrom="column">
              <wp:posOffset>290195</wp:posOffset>
            </wp:positionH>
            <wp:positionV relativeFrom="paragraph">
              <wp:posOffset>16510</wp:posOffset>
            </wp:positionV>
            <wp:extent cx="2941955" cy="3609975"/>
            <wp:effectExtent l="0" t="0" r="0" b="9525"/>
            <wp:wrapSquare wrapText="bothSides"/>
            <wp:docPr id="614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240"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C70A23" w:rsidRDefault="00C70A23" w:rsidP="00C70A23">
      <w:pPr>
        <w:spacing w:after="240" w:line="276" w:lineRule="auto"/>
        <w:jc w:val="both"/>
        <w:rPr>
          <w:sz w:val="24"/>
        </w:rPr>
      </w:pPr>
    </w:p>
    <w:p w:rsidR="00C70A23" w:rsidRDefault="00C70A23" w:rsidP="00C70A23">
      <w:pPr>
        <w:spacing w:after="240" w:line="276" w:lineRule="auto"/>
        <w:jc w:val="both"/>
        <w:rPr>
          <w:sz w:val="24"/>
        </w:rPr>
      </w:pPr>
    </w:p>
    <w:p w:rsidR="00C70A23" w:rsidRDefault="00C70A23" w:rsidP="00C70A23">
      <w:pPr>
        <w:spacing w:after="240" w:line="276" w:lineRule="auto"/>
        <w:jc w:val="both"/>
        <w:rPr>
          <w:sz w:val="24"/>
        </w:rPr>
      </w:pPr>
    </w:p>
    <w:p w:rsidR="00C70A23" w:rsidRDefault="00C70A23" w:rsidP="00C70A23">
      <w:pPr>
        <w:spacing w:after="240" w:line="276" w:lineRule="auto"/>
        <w:jc w:val="both"/>
        <w:rPr>
          <w:sz w:val="24"/>
        </w:rPr>
      </w:pPr>
    </w:p>
    <w:p w:rsidR="00C70A23" w:rsidRDefault="00C70A23" w:rsidP="00C70A23">
      <w:pPr>
        <w:spacing w:after="240" w:line="276" w:lineRule="auto"/>
        <w:jc w:val="both"/>
        <w:rPr>
          <w:sz w:val="24"/>
        </w:rPr>
      </w:pPr>
      <w:r>
        <w:rPr>
          <w:sz w:val="24"/>
        </w:rPr>
        <w:t>Obr. 5: vypínací charakteristiky jističe dle ČSN EN 60898-1,2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Při volbě vypínací charakteristiky je potřeba provést kontrolu, zdali jistič vypne v případě poruchy v předepsaném čase. Důvodem je kromě zajištění ochrany před úrazem elektrickým proudem, také zajištění ochrany před  přetížením a přehřátím instalace. Ochrana spotřebiče, připojeného k zásuvce, proti přetížení musí být řešena vhodnou konstrukcí samotného spotřebiče.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2336" behindDoc="0" locked="0" layoutInCell="1" allowOverlap="1" wp14:anchorId="10B7A43D" wp14:editId="70247E37">
            <wp:simplePos x="0" y="0"/>
            <wp:positionH relativeFrom="column">
              <wp:posOffset>-44450</wp:posOffset>
            </wp:positionH>
            <wp:positionV relativeFrom="paragraph">
              <wp:posOffset>-164465</wp:posOffset>
            </wp:positionV>
            <wp:extent cx="2239010" cy="1256030"/>
            <wp:effectExtent l="0" t="0" r="8890" b="127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suvka jednopolově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Obr. 6: Jednopólové zapojení zásuvkového vývodu s chráničem a jističem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Při zapojování světelných obvodů je potřeba zvážit následující hlediska:</w:t>
      </w:r>
    </w:p>
    <w:p w:rsidR="00C70A23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jak často se bude osvětlení zapínat a vypínat;</w:t>
      </w:r>
    </w:p>
    <w:p w:rsidR="00C70A23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po jakou dobu budou světelné zdroje v provozu;</w:t>
      </w:r>
    </w:p>
    <w:p w:rsidR="00C70A23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jaká je velikost proudu v ustáleném provozu;</w:t>
      </w:r>
    </w:p>
    <w:p w:rsidR="00C70A23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jaké proudy odebírají světelné zdroje v okamžiku zapnutí a vypnutí;</w:t>
      </w:r>
    </w:p>
    <w:p w:rsidR="00C70A23" w:rsidRDefault="00C70A23" w:rsidP="00C70A2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7703C0">
        <w:rPr>
          <w:sz w:val="24"/>
        </w:rPr>
        <w:t>z kolika míst je potřeba sv</w:t>
      </w:r>
      <w:r>
        <w:rPr>
          <w:sz w:val="24"/>
        </w:rPr>
        <w:t>ětelné zdroje zapínat a vypínat.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Po zodpovězení předchozích otázek volíme některou z následujících variant:</w:t>
      </w:r>
    </w:p>
    <w:p w:rsidR="00C70A23" w:rsidRPr="00A36749" w:rsidRDefault="00C70A23" w:rsidP="00C70A23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sz w:val="24"/>
        </w:rPr>
      </w:pPr>
      <w:r w:rsidRPr="00A36749">
        <w:rPr>
          <w:sz w:val="24"/>
        </w:rPr>
        <w:t>ovládání pomocí tlačíte</w:t>
      </w:r>
      <w:r>
        <w:rPr>
          <w:sz w:val="24"/>
        </w:rPr>
        <w:t>k</w:t>
      </w:r>
      <w:r w:rsidRPr="00A36749">
        <w:rPr>
          <w:sz w:val="24"/>
        </w:rPr>
        <w:t xml:space="preserve"> a </w:t>
      </w:r>
      <w:r>
        <w:rPr>
          <w:sz w:val="24"/>
        </w:rPr>
        <w:t>impulsního</w:t>
      </w:r>
      <w:r w:rsidRPr="00A36749">
        <w:rPr>
          <w:sz w:val="24"/>
        </w:rPr>
        <w:t xml:space="preserve"> relé</w:t>
      </w:r>
      <w:r>
        <w:rPr>
          <w:sz w:val="24"/>
        </w:rPr>
        <w:t>;</w:t>
      </w:r>
    </w:p>
    <w:p w:rsidR="00C70A23" w:rsidRDefault="00C70A23" w:rsidP="00C70A23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sz w:val="24"/>
        </w:rPr>
      </w:pPr>
      <w:r w:rsidRPr="00A36749">
        <w:rPr>
          <w:sz w:val="24"/>
        </w:rPr>
        <w:t>ovládání pomocí spínačů a stykače</w:t>
      </w:r>
      <w:r>
        <w:rPr>
          <w:sz w:val="24"/>
        </w:rPr>
        <w:t>;</w:t>
      </w:r>
    </w:p>
    <w:p w:rsidR="00C70A23" w:rsidRDefault="00C70A23" w:rsidP="00C70A23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ovládání pomocí spínačů;</w:t>
      </w:r>
    </w:p>
    <w:p w:rsidR="00C70A23" w:rsidRPr="00A36749" w:rsidRDefault="00C70A23" w:rsidP="00C70A23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osvětlení je součástí inteligentní instalace.</w:t>
      </w:r>
    </w:p>
    <w:p w:rsidR="00C70A23" w:rsidRPr="00462B41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Zapojování světelných obvodů - ovládání pomocí spínačů: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430AFDD0" wp14:editId="17B7FBE4">
            <wp:extent cx="1852654" cy="2262795"/>
            <wp:effectExtent l="0" t="0" r="0" b="4445"/>
            <wp:docPr id="7" name="Obrázek 7" descr="Schéma zapoj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zapojení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15" cy="226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Obr. 7: ovládání světla z jednoho místa, spínač řazení 1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08471FD1" wp14:editId="2B9C3B11">
            <wp:simplePos x="0" y="0"/>
            <wp:positionH relativeFrom="column">
              <wp:posOffset>133350</wp:posOffset>
            </wp:positionH>
            <wp:positionV relativeFrom="paragraph">
              <wp:posOffset>179070</wp:posOffset>
            </wp:positionV>
            <wp:extent cx="3945255" cy="2027555"/>
            <wp:effectExtent l="0" t="0" r="0" b="0"/>
            <wp:wrapSquare wrapText="bothSides"/>
            <wp:docPr id="8" name="Obrázek 8" descr="Schéma zapoj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éma zapojení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Obr. 8: ovládání světla ze dvou míst, spínač řazení 6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392C01D" wp14:editId="4FE0D035">
            <wp:simplePos x="0" y="0"/>
            <wp:positionH relativeFrom="column">
              <wp:posOffset>252730</wp:posOffset>
            </wp:positionH>
            <wp:positionV relativeFrom="paragraph">
              <wp:posOffset>67310</wp:posOffset>
            </wp:positionV>
            <wp:extent cx="3766185" cy="1884045"/>
            <wp:effectExtent l="0" t="0" r="5715" b="1905"/>
            <wp:wrapSquare wrapText="bothSides"/>
            <wp:docPr id="9" name="Obrázek 9" descr="Schéma zapoj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éma zapojení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 w:rsidRPr="00A15EEE">
        <w:rPr>
          <w:sz w:val="24"/>
        </w:rPr>
        <w:t xml:space="preserve"> 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Obr. 9: ovládání světla z více míst, kombinace spínačů s řazením 6 a 7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 wp14:anchorId="7EA05984" wp14:editId="68971C1B">
            <wp:extent cx="5760720" cy="24796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ětla-relé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Obr. 10: Ovládání světla pomocí impulsního relé K1 tlačítky T1, T2, T3</w:t>
      </w:r>
    </w:p>
    <w:p w:rsidR="00C70A23" w:rsidRDefault="00C70A23" w:rsidP="00C70A23">
      <w:pPr>
        <w:suppressAutoHyphens w:val="0"/>
        <w:rPr>
          <w:rStyle w:val="Nadpis1Char"/>
        </w:rPr>
      </w:pPr>
      <w:r>
        <w:rPr>
          <w:rStyle w:val="Nadpis1Char"/>
        </w:rPr>
        <w:br w:type="page"/>
      </w:r>
    </w:p>
    <w:p w:rsidR="00C70A23" w:rsidRPr="00D87572" w:rsidRDefault="00C70A23" w:rsidP="00C70A23">
      <w:pPr>
        <w:pStyle w:val="Nadpis1"/>
        <w:rPr>
          <w:rStyle w:val="Nadpis1Char"/>
          <w:b/>
        </w:rPr>
      </w:pPr>
      <w:r w:rsidRPr="00D87572">
        <w:rPr>
          <w:rStyle w:val="Nadpis1Char"/>
        </w:rPr>
        <w:lastRenderedPageBreak/>
        <w:t>Postupy procvičování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1) výběr materiálu a zařízení pro zásuvkový vývod: 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 w:rsidRPr="00D87572">
        <w:rPr>
          <w:sz w:val="24"/>
        </w:rPr>
        <w:t xml:space="preserve">jistič s vhodnou charakteristikou a </w:t>
      </w:r>
      <w:r>
        <w:rPr>
          <w:sz w:val="24"/>
        </w:rPr>
        <w:t>jmenovitým proudem,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 w:rsidRPr="00D87572">
        <w:rPr>
          <w:sz w:val="24"/>
        </w:rPr>
        <w:t>pro</w:t>
      </w:r>
      <w:r>
        <w:rPr>
          <w:sz w:val="24"/>
        </w:rPr>
        <w:t>u</w:t>
      </w:r>
      <w:r w:rsidRPr="00D87572">
        <w:rPr>
          <w:sz w:val="24"/>
        </w:rPr>
        <w:t xml:space="preserve">dový chránič </w:t>
      </w:r>
      <w:r>
        <w:rPr>
          <w:sz w:val="24"/>
        </w:rPr>
        <w:t>(jmenovitý proud, reziduální proud, typ),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jednofázová </w:t>
      </w:r>
      <w:r w:rsidRPr="00D87572">
        <w:rPr>
          <w:sz w:val="24"/>
        </w:rPr>
        <w:t>zásuvka</w:t>
      </w:r>
      <w:r>
        <w:rPr>
          <w:sz w:val="24"/>
        </w:rPr>
        <w:t>,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rozvodnice,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vodiče, kabely, montážní lišta, instalační krabice, rozvodnice.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2) výběr materiálu a zařízení pro světelný vývod: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 w:rsidRPr="00D87572">
        <w:rPr>
          <w:sz w:val="24"/>
        </w:rPr>
        <w:t xml:space="preserve">jistič s vhodnou charakteristikou a jmenovitým proudem, 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 w:rsidRPr="00D87572">
        <w:rPr>
          <w:sz w:val="24"/>
        </w:rPr>
        <w:t>pro</w:t>
      </w:r>
      <w:r>
        <w:rPr>
          <w:sz w:val="24"/>
        </w:rPr>
        <w:t>u</w:t>
      </w:r>
      <w:r w:rsidRPr="00D87572">
        <w:rPr>
          <w:sz w:val="24"/>
        </w:rPr>
        <w:t>dový chránič</w:t>
      </w:r>
      <w:r>
        <w:rPr>
          <w:sz w:val="24"/>
        </w:rPr>
        <w:t xml:space="preserve"> (jmenovitý proud, reziduální proud, typ),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svítidlo,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spínače, tlačítka, instalační stykač, impulsní relé,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rozvodnice,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vodiče, kabely, montážní lišta, montážní krabice, rozvodnice.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3) vývěr vhodné přepěťové ochrany pro zásuvku: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v rozvodnici bude umístěn 2. stupeň -  SPD2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v instalační krabici, ve které je zásuvka, bude umístěn 3. stupeň - SPD3; nutné dbát na správnou koordinaci SPD2 a SPD3, kterou zajišťuje dostatečná délka vodičů mezi oběma stupni. Ta má být v závislosti na výrobci SPD 5 m – 10 m</w:t>
      </w:r>
    </w:p>
    <w:p w:rsidR="00C70A23" w:rsidRDefault="00C70A23" w:rsidP="00C70A23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vybere se SPD3 určená pro montáž do instalační krabice pod zásuvku nebo zásuvka s již zabudovanou SPD.</w:t>
      </w:r>
    </w:p>
    <w:p w:rsidR="00C70A23" w:rsidRDefault="00C70A23" w:rsidP="00C70A23">
      <w:pPr>
        <w:suppressAutoHyphens w:val="0"/>
        <w:rPr>
          <w:rStyle w:val="Nadpis1Char"/>
        </w:rPr>
      </w:pPr>
      <w:r>
        <w:rPr>
          <w:rStyle w:val="Nadpis1Char"/>
        </w:rPr>
        <w:br w:type="page"/>
      </w:r>
    </w:p>
    <w:p w:rsidR="00C70A23" w:rsidRPr="00D87572" w:rsidRDefault="00C70A23" w:rsidP="00C70A23">
      <w:pPr>
        <w:pStyle w:val="Nadpis1"/>
        <w:rPr>
          <w:rStyle w:val="Nadpis1Char"/>
          <w:b/>
        </w:rPr>
      </w:pPr>
      <w:r w:rsidRPr="00D87572">
        <w:rPr>
          <w:rStyle w:val="Nadpis1Char"/>
        </w:rPr>
        <w:lastRenderedPageBreak/>
        <w:t>Závěr</w:t>
      </w:r>
    </w:p>
    <w:p w:rsidR="00C70A23" w:rsidRDefault="00C70A23" w:rsidP="00C70A23">
      <w:pPr>
        <w:spacing w:after="120" w:line="276" w:lineRule="auto"/>
        <w:jc w:val="both"/>
        <w:rPr>
          <w:sz w:val="24"/>
        </w:rPr>
      </w:pPr>
      <w:r>
        <w:rPr>
          <w:sz w:val="24"/>
        </w:rPr>
        <w:t>V závěru zhodnotit následující činnosti:</w:t>
      </w:r>
    </w:p>
    <w:p w:rsidR="00C70A23" w:rsidRPr="00367CBA" w:rsidRDefault="00C70A23" w:rsidP="00C70A23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k</w:t>
      </w:r>
      <w:r w:rsidRPr="00367CBA">
        <w:rPr>
          <w:sz w:val="24"/>
        </w:rPr>
        <w:t>ontrol</w:t>
      </w:r>
      <w:r>
        <w:rPr>
          <w:sz w:val="24"/>
        </w:rPr>
        <w:t>u</w:t>
      </w:r>
      <w:r w:rsidRPr="00367CBA">
        <w:rPr>
          <w:sz w:val="24"/>
        </w:rPr>
        <w:t xml:space="preserve"> správnosti zapojení a vzhledu provedení instalace zásuvkového vývodu</w:t>
      </w:r>
      <w:r>
        <w:rPr>
          <w:sz w:val="24"/>
        </w:rPr>
        <w:t>;</w:t>
      </w:r>
    </w:p>
    <w:p w:rsidR="00C70A23" w:rsidRPr="00367CBA" w:rsidRDefault="00C70A23" w:rsidP="00C70A23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o</w:t>
      </w:r>
      <w:r w:rsidRPr="00367CBA">
        <w:rPr>
          <w:sz w:val="24"/>
        </w:rPr>
        <w:t>věření funkce zásuvkového obvodu včetně kontroly funkce proudového chrániče</w:t>
      </w:r>
      <w:r>
        <w:rPr>
          <w:sz w:val="24"/>
        </w:rPr>
        <w:t>;</w:t>
      </w:r>
    </w:p>
    <w:p w:rsidR="00C70A23" w:rsidRPr="00367CBA" w:rsidRDefault="00C70A23" w:rsidP="00C70A23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k</w:t>
      </w:r>
      <w:r w:rsidRPr="00367CBA">
        <w:rPr>
          <w:sz w:val="24"/>
        </w:rPr>
        <w:t>ontrol</w:t>
      </w:r>
      <w:r>
        <w:rPr>
          <w:sz w:val="24"/>
        </w:rPr>
        <w:t>u</w:t>
      </w:r>
      <w:r w:rsidRPr="00367CBA">
        <w:rPr>
          <w:sz w:val="24"/>
        </w:rPr>
        <w:t xml:space="preserve"> správnosti zapojení a vzhledu provedení instalace světelného vývodu s jednotlivými variantami ovládání světla</w:t>
      </w:r>
      <w:r>
        <w:rPr>
          <w:sz w:val="24"/>
        </w:rPr>
        <w:t>;</w:t>
      </w:r>
    </w:p>
    <w:p w:rsidR="00C70A23" w:rsidRPr="00367CBA" w:rsidRDefault="00C70A23" w:rsidP="00C70A23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o</w:t>
      </w:r>
      <w:r w:rsidRPr="00367CBA">
        <w:rPr>
          <w:sz w:val="24"/>
        </w:rPr>
        <w:t>věření funkce světelného obvodu včetně kontroly funkce proudového chrániče</w:t>
      </w:r>
      <w:r>
        <w:rPr>
          <w:sz w:val="24"/>
        </w:rPr>
        <w:t xml:space="preserve"> a </w:t>
      </w:r>
      <w:r w:rsidRPr="00367CBA">
        <w:rPr>
          <w:sz w:val="24"/>
        </w:rPr>
        <w:t xml:space="preserve">správné funkce ovládání světla v dvou </w:t>
      </w:r>
      <w:r>
        <w:rPr>
          <w:sz w:val="24"/>
        </w:rPr>
        <w:t>a více míst;</w:t>
      </w:r>
    </w:p>
    <w:p w:rsidR="00C70A23" w:rsidRPr="00367CBA" w:rsidRDefault="00C70A23" w:rsidP="00C70A23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k</w:t>
      </w:r>
      <w:r w:rsidRPr="00367CBA">
        <w:rPr>
          <w:sz w:val="24"/>
        </w:rPr>
        <w:t>ontrol</w:t>
      </w:r>
      <w:r>
        <w:rPr>
          <w:sz w:val="24"/>
        </w:rPr>
        <w:t>u</w:t>
      </w:r>
      <w:r w:rsidRPr="00367CBA">
        <w:rPr>
          <w:sz w:val="24"/>
        </w:rPr>
        <w:t xml:space="preserve"> správnosti zapojení přepěťové ochrany.</w:t>
      </w:r>
    </w:p>
    <w:p w:rsidR="00C70A23" w:rsidRPr="00D87572" w:rsidRDefault="00C70A23" w:rsidP="00C70A23">
      <w:pPr>
        <w:spacing w:after="120" w:line="276" w:lineRule="auto"/>
        <w:jc w:val="both"/>
        <w:rPr>
          <w:sz w:val="24"/>
        </w:rPr>
      </w:pPr>
    </w:p>
    <w:p w:rsidR="00C70A23" w:rsidRPr="00D87572" w:rsidRDefault="00C70A23" w:rsidP="00C70A23">
      <w:pPr>
        <w:spacing w:after="120" w:line="276" w:lineRule="auto"/>
        <w:jc w:val="both"/>
        <w:rPr>
          <w:sz w:val="24"/>
        </w:rPr>
      </w:pPr>
    </w:p>
    <w:p w:rsidR="001D4A23" w:rsidRPr="00C70A23" w:rsidRDefault="001D4A23" w:rsidP="00C70A23">
      <w:bookmarkStart w:id="0" w:name="_GoBack"/>
      <w:bookmarkEnd w:id="0"/>
    </w:p>
    <w:sectPr w:rsidR="001D4A23" w:rsidRPr="00C70A23" w:rsidSect="0066480A">
      <w:headerReference w:type="first" r:id="rId20"/>
      <w:footerReference w:type="first" r:id="rId2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02" w:rsidRDefault="001E0602" w:rsidP="00AE5686">
      <w:r>
        <w:separator/>
      </w:r>
    </w:p>
  </w:endnote>
  <w:endnote w:type="continuationSeparator" w:id="0">
    <w:p w:rsidR="001E0602" w:rsidRDefault="001E0602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02" w:rsidRDefault="001E0602" w:rsidP="00AE5686">
      <w:r>
        <w:separator/>
      </w:r>
    </w:p>
  </w:footnote>
  <w:footnote w:type="continuationSeparator" w:id="0">
    <w:p w:rsidR="001E0602" w:rsidRDefault="001E0602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49"/>
    <w:multiLevelType w:val="hybridMultilevel"/>
    <w:tmpl w:val="587C168E"/>
    <w:lvl w:ilvl="0" w:tplc="D19E10D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0BF"/>
    <w:multiLevelType w:val="hybridMultilevel"/>
    <w:tmpl w:val="036EF6C2"/>
    <w:lvl w:ilvl="0" w:tplc="AE08F8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F2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04F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890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AE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A1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6BF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E50"/>
    <w:multiLevelType w:val="hybridMultilevel"/>
    <w:tmpl w:val="C360E8E4"/>
    <w:lvl w:ilvl="0" w:tplc="0854BD3A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7531"/>
    <w:multiLevelType w:val="hybridMultilevel"/>
    <w:tmpl w:val="125CCE48"/>
    <w:lvl w:ilvl="0" w:tplc="AE08F8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0372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F2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04F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890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AE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A1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6BF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73DA"/>
    <w:multiLevelType w:val="hybridMultilevel"/>
    <w:tmpl w:val="8C8E88EC"/>
    <w:lvl w:ilvl="0" w:tplc="D19E10D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1957"/>
    <w:multiLevelType w:val="hybridMultilevel"/>
    <w:tmpl w:val="A392BCA0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34BA"/>
    <w:multiLevelType w:val="multilevel"/>
    <w:tmpl w:val="12A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D6832"/>
    <w:multiLevelType w:val="hybridMultilevel"/>
    <w:tmpl w:val="2D464D40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5CDE"/>
    <w:multiLevelType w:val="hybridMultilevel"/>
    <w:tmpl w:val="0F8E1D0A"/>
    <w:lvl w:ilvl="0" w:tplc="D19E10D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3E31"/>
    <w:multiLevelType w:val="hybridMultilevel"/>
    <w:tmpl w:val="46326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E0602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70A23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A23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C70A23"/>
    <w:pPr>
      <w:numPr>
        <w:numId w:val="1"/>
      </w:numPr>
      <w:spacing w:before="360" w:after="240"/>
      <w:contextualSpacing/>
      <w:outlineLvl w:val="0"/>
    </w:pPr>
    <w:rPr>
      <w:b/>
      <w:spacing w:val="5"/>
      <w:sz w:val="32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C70A23"/>
    <w:rPr>
      <w:rFonts w:ascii="Calibri" w:eastAsia="Times New Roman" w:hAnsi="Calibri" w:cs="Times New Roman"/>
      <w:b/>
      <w:color w:val="000000"/>
      <w:spacing w:val="5"/>
      <w:sz w:val="32"/>
      <w:szCs w:val="36"/>
      <w:lang w:eastAsia="ar-SA"/>
    </w:rPr>
  </w:style>
  <w:style w:type="paragraph" w:styleId="Odstavecseseznamem">
    <w:name w:val="List Paragraph"/>
    <w:basedOn w:val="Normln"/>
    <w:uiPriority w:val="34"/>
    <w:qFormat/>
    <w:rsid w:val="00C70A23"/>
    <w:pPr>
      <w:ind w:left="720"/>
      <w:contextualSpacing/>
    </w:pPr>
  </w:style>
  <w:style w:type="paragraph" w:customStyle="1" w:styleId="Obsahtabulky">
    <w:name w:val="Obsah tabulky"/>
    <w:basedOn w:val="Normln"/>
    <w:rsid w:val="00C70A23"/>
    <w:pPr>
      <w:widowControl w:val="0"/>
      <w:suppressLineNumbers/>
    </w:pPr>
    <w:rPr>
      <w:rFonts w:ascii="Times New Roman" w:eastAsia="Arial Unicode MS" w:hAnsi="Times New Roman" w:cs="Tahoma"/>
      <w:color w:val="auto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1414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Spousta Petr</cp:lastModifiedBy>
  <cp:revision>2</cp:revision>
  <dcterms:created xsi:type="dcterms:W3CDTF">2020-03-31T14:01:00Z</dcterms:created>
  <dcterms:modified xsi:type="dcterms:W3CDTF">2020-03-31T14:01:00Z</dcterms:modified>
</cp:coreProperties>
</file>