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00" w:rsidRPr="005338F7" w:rsidRDefault="005338F7" w:rsidP="005338F7">
      <w:pPr>
        <w:jc w:val="center"/>
        <w:rPr>
          <w:b/>
          <w:sz w:val="50"/>
          <w:szCs w:val="50"/>
        </w:rPr>
      </w:pPr>
      <w:r w:rsidRPr="005338F7">
        <w:rPr>
          <w:b/>
          <w:sz w:val="50"/>
          <w:szCs w:val="50"/>
        </w:rPr>
        <w:t>Druhy pojmenovaných smluv</w:t>
      </w:r>
    </w:p>
    <w:tbl>
      <w:tblPr>
        <w:tblStyle w:val="Tmavtabulkasmkou5zvraznn21"/>
        <w:tblW w:w="9782" w:type="dxa"/>
        <w:tblInd w:w="-318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4400"/>
      </w:tblGrid>
      <w:tr w:rsidR="005338F7" w:rsidRPr="005338F7" w:rsidTr="0053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30"/>
                <w:szCs w:val="30"/>
              </w:rPr>
            </w:pPr>
            <w:r w:rsidRPr="005338F7">
              <w:rPr>
                <w:rFonts w:ascii="Corbel" w:hAnsi="Corbel" w:cs="Times New Roman"/>
                <w:sz w:val="30"/>
                <w:szCs w:val="30"/>
              </w:rPr>
              <w:t>Druh</w:t>
            </w:r>
            <w:r>
              <w:rPr>
                <w:rFonts w:ascii="Corbel" w:hAnsi="Corbel" w:cs="Times New Roman"/>
                <w:sz w:val="30"/>
                <w:szCs w:val="30"/>
              </w:rPr>
              <w:br/>
            </w:r>
            <w:r w:rsidRPr="005338F7">
              <w:rPr>
                <w:rFonts w:ascii="Corbel" w:hAnsi="Corbel" w:cs="Times New Roman"/>
                <w:sz w:val="30"/>
                <w:szCs w:val="30"/>
              </w:rPr>
              <w:t>smlouvy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30"/>
                <w:szCs w:val="30"/>
              </w:rPr>
            </w:pPr>
            <w:r w:rsidRPr="005338F7">
              <w:rPr>
                <w:rFonts w:ascii="Corbel" w:hAnsi="Corbel" w:cs="Times New Roman"/>
                <w:sz w:val="30"/>
                <w:szCs w:val="30"/>
              </w:rPr>
              <w:t>1. strana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30"/>
                <w:szCs w:val="30"/>
              </w:rPr>
            </w:pPr>
            <w:r w:rsidRPr="005338F7">
              <w:rPr>
                <w:rFonts w:ascii="Corbel" w:hAnsi="Corbel" w:cs="Times New Roman"/>
                <w:sz w:val="30"/>
                <w:szCs w:val="30"/>
              </w:rPr>
              <w:t>2. strana</w:t>
            </w: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30"/>
                <w:szCs w:val="30"/>
              </w:rPr>
            </w:pPr>
            <w:r w:rsidRPr="005338F7">
              <w:rPr>
                <w:rFonts w:ascii="Corbel" w:hAnsi="Corbel" w:cs="Times New Roman"/>
                <w:sz w:val="30"/>
                <w:szCs w:val="30"/>
              </w:rPr>
              <w:t>Předmět smlouvy</w:t>
            </w: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Bezplatné převedení vlastnického práva k věci.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sz w:val="24"/>
                <w:szCs w:val="24"/>
              </w:rPr>
              <w:t>Koupě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Strana 1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proofErr w:type="spellStart"/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Výprosník</w:t>
            </w:r>
            <w:proofErr w:type="spellEnd"/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Bezplatné, dočasné užívání</w:t>
            </w: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br/>
              <w:t>nezuživatelné věci.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sz w:val="24"/>
                <w:szCs w:val="24"/>
              </w:rPr>
              <w:t>Zápůjčka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FFFFFF"/>
            </w:tcBorders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Pronajímatel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Pachtýř</w:t>
            </w: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9D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Úplatné provedení díla na objednávku.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sz w:val="24"/>
                <w:szCs w:val="24"/>
              </w:rPr>
              <w:lastRenderedPageBreak/>
              <w:t>Licence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Úvěrující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Příkazník</w:t>
            </w: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Závazek uzavřít smlouvu s třetí osobou za poskytnutí odměny.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sz w:val="24"/>
                <w:szCs w:val="24"/>
              </w:rPr>
              <w:t>Komise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Zasílatel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Zastoupený</w:t>
            </w: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Úplatné obstarání souboru služeb cestovního ruchu.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sz w:val="24"/>
                <w:szCs w:val="24"/>
              </w:rPr>
              <w:t>Přeprava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Příkazce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Nabyvatel</w:t>
            </w: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Dvě a více osob se sdruží za společným účelem činnosti, věci anebo obojí.</w:t>
            </w:r>
          </w:p>
        </w:tc>
      </w:tr>
      <w:tr w:rsidR="005338F7" w:rsidRPr="005338F7" w:rsidTr="005338F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sz w:val="24"/>
                <w:szCs w:val="24"/>
              </w:rPr>
              <w:lastRenderedPageBreak/>
              <w:t>Tichá společnost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  <w:tr w:rsidR="005338F7" w:rsidRPr="005338F7" w:rsidTr="0053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  <w:r w:rsidRPr="005338F7">
              <w:rPr>
                <w:rFonts w:ascii="Corbel" w:hAnsi="Corbel" w:cs="Times New Roman"/>
                <w:i/>
                <w:sz w:val="24"/>
                <w:szCs w:val="24"/>
              </w:rPr>
              <w:t>Pojistitel</w:t>
            </w:r>
          </w:p>
        </w:tc>
        <w:tc>
          <w:tcPr>
            <w:tcW w:w="1701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5338F7" w:rsidRPr="005338F7" w:rsidRDefault="005338F7" w:rsidP="005338F7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 w:val="24"/>
                <w:szCs w:val="24"/>
              </w:rPr>
            </w:pPr>
          </w:p>
        </w:tc>
      </w:tr>
    </w:tbl>
    <w:p w:rsidR="005338F7" w:rsidRDefault="005338F7">
      <w:bookmarkStart w:id="0" w:name="_GoBack"/>
      <w:bookmarkEnd w:id="0"/>
    </w:p>
    <w:sectPr w:rsidR="005338F7" w:rsidSect="009D4386">
      <w:headerReference w:type="default" r:id="rId6"/>
      <w:headerReference w:type="first" r:id="rId7"/>
      <w:footerReference w:type="firs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C9" w:rsidRDefault="005A1EC9" w:rsidP="009D4386">
      <w:pPr>
        <w:spacing w:after="0" w:line="240" w:lineRule="auto"/>
      </w:pPr>
      <w:r>
        <w:separator/>
      </w:r>
    </w:p>
  </w:endnote>
  <w:endnote w:type="continuationSeparator" w:id="0">
    <w:p w:rsidR="005A1EC9" w:rsidRDefault="005A1EC9" w:rsidP="009D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86" w:rsidRDefault="009D4386" w:rsidP="009D438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20C30EE" wp14:editId="38BDF52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19E38" wp14:editId="23CFC32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86" w:rsidRDefault="009D4386" w:rsidP="009D438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D4386" w:rsidRDefault="009D4386" w:rsidP="009D438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D4386" w:rsidRPr="007509AF" w:rsidRDefault="009D4386" w:rsidP="009D438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19E3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D4386" w:rsidRDefault="009D4386" w:rsidP="009D438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D4386" w:rsidRDefault="009D4386" w:rsidP="009D438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D4386" w:rsidRPr="007509AF" w:rsidRDefault="009D4386" w:rsidP="009D4386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C9" w:rsidRDefault="005A1EC9" w:rsidP="009D4386">
      <w:pPr>
        <w:spacing w:after="0" w:line="240" w:lineRule="auto"/>
      </w:pPr>
      <w:r>
        <w:separator/>
      </w:r>
    </w:p>
  </w:footnote>
  <w:footnote w:type="continuationSeparator" w:id="0">
    <w:p w:rsidR="005A1EC9" w:rsidRDefault="005A1EC9" w:rsidP="009D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86" w:rsidRDefault="009D4386">
    <w:pPr>
      <w:pStyle w:val="Zhlav"/>
    </w:pPr>
  </w:p>
  <w:p w:rsidR="009D4386" w:rsidRDefault="009D43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86" w:rsidRDefault="009D4386" w:rsidP="009D4386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0624182E" wp14:editId="31C03D7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D4386" w:rsidRDefault="009D4386">
    <w:pPr>
      <w:pStyle w:val="Zhlav"/>
    </w:pPr>
  </w:p>
  <w:p w:rsidR="009D4386" w:rsidRDefault="009D4386">
    <w:pPr>
      <w:pStyle w:val="Zhlav"/>
    </w:pPr>
  </w:p>
  <w:p w:rsidR="009D4386" w:rsidRDefault="009D43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F7"/>
    <w:rsid w:val="00283ABB"/>
    <w:rsid w:val="005338F7"/>
    <w:rsid w:val="00566682"/>
    <w:rsid w:val="005A1EC9"/>
    <w:rsid w:val="009D4386"/>
    <w:rsid w:val="00B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3BC2"/>
  <w15:docId w15:val="{61335597-0C68-49C8-9249-36BDF8B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21">
    <w:name w:val="Tmavá tabulka s mřížkou 5 – zvýraznění 21"/>
    <w:basedOn w:val="Normlntabulka"/>
    <w:uiPriority w:val="50"/>
    <w:rsid w:val="005338F7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1C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AB9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AB9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AB9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AB900"/>
      </w:tcPr>
    </w:tblStylePr>
    <w:tblStylePr w:type="band1Vert">
      <w:tblPr/>
      <w:tcPr>
        <w:shd w:val="clear" w:color="auto" w:fill="FFE397"/>
      </w:tcPr>
    </w:tblStylePr>
    <w:tblStylePr w:type="band1Horz">
      <w:tblPr/>
      <w:tcPr>
        <w:shd w:val="clear" w:color="auto" w:fill="FFE397"/>
      </w:tcPr>
    </w:tblStylePr>
  </w:style>
  <w:style w:type="paragraph" w:styleId="Zhlav">
    <w:name w:val="header"/>
    <w:basedOn w:val="Normln"/>
    <w:link w:val="ZhlavChar"/>
    <w:uiPriority w:val="99"/>
    <w:unhideWhenUsed/>
    <w:rsid w:val="009D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386"/>
  </w:style>
  <w:style w:type="paragraph" w:styleId="Zpat">
    <w:name w:val="footer"/>
    <w:basedOn w:val="Normln"/>
    <w:link w:val="ZpatChar"/>
    <w:uiPriority w:val="99"/>
    <w:unhideWhenUsed/>
    <w:rsid w:val="009D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386"/>
  </w:style>
  <w:style w:type="paragraph" w:styleId="Bezmezer">
    <w:name w:val="No Spacing"/>
    <w:uiPriority w:val="1"/>
    <w:qFormat/>
    <w:rsid w:val="009D4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Lörincz</dc:creator>
  <cp:lastModifiedBy>Eva Kejkulová</cp:lastModifiedBy>
  <cp:revision>2</cp:revision>
  <dcterms:created xsi:type="dcterms:W3CDTF">2019-11-29T13:42:00Z</dcterms:created>
  <dcterms:modified xsi:type="dcterms:W3CDTF">2020-04-09T08:42:00Z</dcterms:modified>
</cp:coreProperties>
</file>