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6A" w:rsidRPr="00023A6A" w:rsidRDefault="00023A6A" w:rsidP="00023A6A">
      <w:pPr>
        <w:spacing w:after="160" w:line="300" w:lineRule="auto"/>
        <w:rPr>
          <w:rFonts w:ascii="Corbel" w:eastAsia="Times New Roman" w:hAnsi="Corbel" w:cs="Times New Roman"/>
          <w:b/>
          <w:sz w:val="30"/>
          <w:szCs w:val="30"/>
        </w:rPr>
      </w:pPr>
      <w:r w:rsidRPr="00023A6A">
        <w:rPr>
          <w:rFonts w:ascii="Corbel" w:eastAsia="Times New Roman" w:hAnsi="Corbel" w:cs="Times New Roman"/>
          <w:b/>
          <w:sz w:val="30"/>
          <w:szCs w:val="30"/>
        </w:rPr>
        <w:t>Vznik závazku</w:t>
      </w:r>
    </w:p>
    <w:tbl>
      <w:tblPr>
        <w:tblStyle w:val="Tabulkasmkou4zvraznn21"/>
        <w:tblW w:w="0" w:type="auto"/>
        <w:tblLook w:val="04A0" w:firstRow="1" w:lastRow="0" w:firstColumn="1" w:lastColumn="0" w:noHBand="0" w:noVBand="1"/>
      </w:tblPr>
      <w:tblGrid>
        <w:gridCol w:w="2925"/>
        <w:gridCol w:w="2925"/>
        <w:gridCol w:w="2926"/>
      </w:tblGrid>
      <w:tr w:rsidR="00023A6A" w:rsidRPr="00023A6A" w:rsidTr="00A5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023A6A">
              <w:rPr>
                <w:rFonts w:ascii="Corbel" w:hAnsi="Corbel" w:cs="Times New Roman"/>
                <w:sz w:val="24"/>
                <w:szCs w:val="24"/>
              </w:rPr>
              <w:t>dle § 1723 OZ</w:t>
            </w:r>
          </w:p>
        </w:tc>
        <w:tc>
          <w:tcPr>
            <w:tcW w:w="2925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4"/>
                <w:szCs w:val="24"/>
              </w:rPr>
            </w:pPr>
            <w:r w:rsidRPr="00023A6A">
              <w:rPr>
                <w:rFonts w:ascii="Corbel" w:hAnsi="Corbel" w:cs="Times New Roman"/>
                <w:sz w:val="24"/>
                <w:szCs w:val="24"/>
              </w:rPr>
              <w:t>dle systému OZ</w:t>
            </w:r>
          </w:p>
        </w:tc>
        <w:tc>
          <w:tcPr>
            <w:tcW w:w="2926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4"/>
                <w:szCs w:val="24"/>
              </w:rPr>
            </w:pPr>
            <w:r w:rsidRPr="00023A6A">
              <w:rPr>
                <w:rFonts w:ascii="Corbel" w:hAnsi="Corbel" w:cs="Times New Roman"/>
                <w:sz w:val="24"/>
                <w:szCs w:val="24"/>
              </w:rPr>
              <w:t>Příklad závazku</w:t>
            </w:r>
          </w:p>
        </w:tc>
      </w:tr>
      <w:tr w:rsidR="00023A6A" w:rsidRPr="00023A6A" w:rsidTr="00A53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  <w:vAlign w:val="center"/>
          </w:tcPr>
          <w:p w:rsidR="00023A6A" w:rsidRPr="009F1D26" w:rsidRDefault="00023A6A" w:rsidP="00023A6A">
            <w:pPr>
              <w:spacing w:after="160" w:line="300" w:lineRule="auto"/>
              <w:jc w:val="center"/>
              <w:rPr>
                <w:rFonts w:ascii="Corbel" w:hAnsi="Corbel" w:cs="Times New Roman"/>
                <w:i/>
                <w:szCs w:val="22"/>
                <w:u w:val="single"/>
              </w:rPr>
            </w:pPr>
            <w:r w:rsidRPr="009F1D26">
              <w:rPr>
                <w:rFonts w:ascii="Corbel" w:hAnsi="Corbel" w:cs="Times New Roman"/>
                <w:i/>
                <w:szCs w:val="22"/>
                <w:u w:val="single"/>
              </w:rPr>
              <w:t>ze smluv</w:t>
            </w:r>
          </w:p>
        </w:tc>
        <w:tc>
          <w:tcPr>
            <w:tcW w:w="2925" w:type="dxa"/>
            <w:vAlign w:val="center"/>
          </w:tcPr>
          <w:p w:rsidR="00023A6A" w:rsidRPr="00023A6A" w:rsidRDefault="009F1D26" w:rsidP="00023A6A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  <w:r>
              <w:rPr>
                <w:rFonts w:ascii="Corbel" w:hAnsi="Corbel" w:cs="Times New Roman"/>
                <w:i/>
                <w:szCs w:val="22"/>
              </w:rPr>
              <w:t>Z právních jednání</w:t>
            </w:r>
          </w:p>
        </w:tc>
        <w:tc>
          <w:tcPr>
            <w:tcW w:w="2926" w:type="dxa"/>
            <w:vAlign w:val="center"/>
          </w:tcPr>
          <w:p w:rsidR="00023A6A" w:rsidRPr="00023A6A" w:rsidRDefault="009F1D26" w:rsidP="00023A6A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  <w:r>
              <w:rPr>
                <w:rFonts w:ascii="Corbel" w:hAnsi="Corbel" w:cs="Times New Roman"/>
                <w:i/>
                <w:szCs w:val="22"/>
              </w:rPr>
              <w:t>Akceptace smlouvy</w:t>
            </w:r>
          </w:p>
        </w:tc>
      </w:tr>
      <w:tr w:rsidR="00023A6A" w:rsidRPr="00023A6A" w:rsidTr="00A53B3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  <w:vAlign w:val="center"/>
          </w:tcPr>
          <w:p w:rsidR="00023A6A" w:rsidRPr="00023A6A" w:rsidRDefault="009F1D26" w:rsidP="00023A6A">
            <w:pPr>
              <w:spacing w:after="160" w:line="300" w:lineRule="auto"/>
              <w:jc w:val="center"/>
              <w:rPr>
                <w:rFonts w:ascii="Corbel" w:hAnsi="Corbel" w:cs="Times New Roman"/>
                <w:i/>
                <w:szCs w:val="22"/>
              </w:rPr>
            </w:pPr>
            <w:r>
              <w:rPr>
                <w:rFonts w:ascii="Corbel" w:hAnsi="Corbel" w:cs="Times New Roman"/>
                <w:i/>
                <w:szCs w:val="22"/>
              </w:rPr>
              <w:t>Z protiprávních činů</w:t>
            </w:r>
          </w:p>
        </w:tc>
        <w:tc>
          <w:tcPr>
            <w:tcW w:w="2925" w:type="dxa"/>
            <w:vAlign w:val="center"/>
          </w:tcPr>
          <w:p w:rsidR="00023A6A" w:rsidRPr="009F1D26" w:rsidRDefault="00023A6A" w:rsidP="00023A6A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  <w:u w:val="single"/>
              </w:rPr>
            </w:pPr>
            <w:r w:rsidRPr="009F1D26">
              <w:rPr>
                <w:rFonts w:ascii="Corbel" w:hAnsi="Corbel" w:cs="Times New Roman"/>
                <w:i/>
                <w:szCs w:val="22"/>
                <w:u w:val="single"/>
              </w:rPr>
              <w:t>závazky z deliktů</w:t>
            </w:r>
          </w:p>
        </w:tc>
        <w:tc>
          <w:tcPr>
            <w:tcW w:w="2926" w:type="dxa"/>
            <w:vAlign w:val="center"/>
          </w:tcPr>
          <w:p w:rsidR="00023A6A" w:rsidRPr="00023A6A" w:rsidRDefault="009F1D26" w:rsidP="00023A6A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  <w:r>
              <w:rPr>
                <w:rFonts w:ascii="Corbel" w:hAnsi="Corbel" w:cs="Times New Roman"/>
                <w:i/>
                <w:szCs w:val="22"/>
              </w:rPr>
              <w:t>Náhrada škody, nemajetkové újmy</w:t>
            </w:r>
          </w:p>
        </w:tc>
      </w:tr>
      <w:tr w:rsidR="00023A6A" w:rsidRPr="00023A6A" w:rsidTr="00A53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  <w:vAlign w:val="center"/>
          </w:tcPr>
          <w:p w:rsidR="00023A6A" w:rsidRPr="00023A6A" w:rsidRDefault="009F1D26" w:rsidP="00023A6A">
            <w:pPr>
              <w:spacing w:after="160" w:line="300" w:lineRule="auto"/>
              <w:jc w:val="center"/>
              <w:rPr>
                <w:rFonts w:ascii="Corbel" w:hAnsi="Corbel" w:cs="Times New Roman"/>
                <w:i/>
                <w:szCs w:val="22"/>
              </w:rPr>
            </w:pPr>
            <w:r>
              <w:rPr>
                <w:rFonts w:ascii="Corbel" w:hAnsi="Corbel" w:cs="Times New Roman"/>
                <w:i/>
                <w:szCs w:val="22"/>
              </w:rPr>
              <w:t>Z jiné právní skutečnosti</w:t>
            </w:r>
          </w:p>
        </w:tc>
        <w:tc>
          <w:tcPr>
            <w:tcW w:w="2925" w:type="dxa"/>
            <w:vAlign w:val="center"/>
          </w:tcPr>
          <w:p w:rsidR="00023A6A" w:rsidRPr="00023A6A" w:rsidRDefault="009F1D26" w:rsidP="00023A6A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  <w:r>
              <w:rPr>
                <w:rFonts w:ascii="Corbel" w:hAnsi="Corbel" w:cs="Times New Roman"/>
                <w:i/>
                <w:szCs w:val="22"/>
              </w:rPr>
              <w:t>Z jiných právních skutečností</w:t>
            </w:r>
          </w:p>
        </w:tc>
        <w:tc>
          <w:tcPr>
            <w:tcW w:w="2926" w:type="dxa"/>
            <w:vAlign w:val="center"/>
          </w:tcPr>
          <w:p w:rsidR="00023A6A" w:rsidRPr="009F1D26" w:rsidRDefault="00023A6A" w:rsidP="00023A6A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  <w:u w:val="single"/>
              </w:rPr>
            </w:pPr>
            <w:r w:rsidRPr="009F1D26">
              <w:rPr>
                <w:rFonts w:ascii="Corbel" w:hAnsi="Corbel" w:cs="Times New Roman"/>
                <w:i/>
                <w:szCs w:val="22"/>
                <w:u w:val="single"/>
              </w:rPr>
              <w:t>bezdůvodné obohacení, nepřikázané jednatelství</w:t>
            </w:r>
          </w:p>
        </w:tc>
      </w:tr>
    </w:tbl>
    <w:p w:rsidR="00023A6A" w:rsidRPr="00023A6A" w:rsidRDefault="00023A6A" w:rsidP="00023A6A">
      <w:pPr>
        <w:spacing w:after="160" w:line="300" w:lineRule="auto"/>
        <w:rPr>
          <w:rFonts w:ascii="Corbel" w:eastAsia="Times New Roman" w:hAnsi="Corbel" w:cs="Times New Roman"/>
          <w:sz w:val="21"/>
          <w:szCs w:val="21"/>
        </w:rPr>
      </w:pPr>
    </w:p>
    <w:p w:rsidR="00023A6A" w:rsidRPr="00023A6A" w:rsidRDefault="00023A6A" w:rsidP="00023A6A">
      <w:pPr>
        <w:spacing w:after="160" w:line="300" w:lineRule="auto"/>
        <w:rPr>
          <w:rFonts w:ascii="Corbel" w:eastAsia="Times New Roman" w:hAnsi="Corbel" w:cs="Times New Roman"/>
          <w:b/>
          <w:sz w:val="30"/>
          <w:szCs w:val="30"/>
        </w:rPr>
      </w:pPr>
      <w:r w:rsidRPr="00023A6A">
        <w:rPr>
          <w:rFonts w:ascii="Corbel" w:eastAsia="Times New Roman" w:hAnsi="Corbel" w:cs="Times New Roman"/>
          <w:b/>
          <w:sz w:val="30"/>
          <w:szCs w:val="30"/>
        </w:rPr>
        <w:t>Změna závazku</w:t>
      </w:r>
    </w:p>
    <w:tbl>
      <w:tblPr>
        <w:tblStyle w:val="Tabulkasmkou4zvraznn31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4386"/>
      </w:tblGrid>
      <w:tr w:rsidR="00023A6A" w:rsidRPr="00023A6A" w:rsidTr="00A5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023A6A">
              <w:rPr>
                <w:rFonts w:ascii="Corbel" w:hAnsi="Corbel" w:cs="Times New Roman"/>
                <w:sz w:val="24"/>
                <w:szCs w:val="24"/>
              </w:rPr>
              <w:t>Způsob změny</w:t>
            </w:r>
          </w:p>
        </w:tc>
        <w:tc>
          <w:tcPr>
            <w:tcW w:w="2410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4"/>
                <w:szCs w:val="24"/>
              </w:rPr>
            </w:pPr>
            <w:r w:rsidRPr="00023A6A">
              <w:rPr>
                <w:rFonts w:ascii="Corbel" w:hAnsi="Corbel" w:cs="Times New Roman"/>
                <w:sz w:val="24"/>
                <w:szCs w:val="24"/>
              </w:rPr>
              <w:t xml:space="preserve">Typ změny </w:t>
            </w:r>
          </w:p>
        </w:tc>
        <w:tc>
          <w:tcPr>
            <w:tcW w:w="4386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sz w:val="24"/>
                <w:szCs w:val="24"/>
              </w:rPr>
            </w:pPr>
            <w:r w:rsidRPr="00023A6A">
              <w:rPr>
                <w:rFonts w:ascii="Corbel" w:hAnsi="Corbel" w:cs="Times New Roman"/>
                <w:sz w:val="24"/>
                <w:szCs w:val="24"/>
              </w:rPr>
              <w:t>Definice změny závazku</w:t>
            </w:r>
          </w:p>
        </w:tc>
      </w:tr>
      <w:tr w:rsidR="00023A6A" w:rsidRPr="00023A6A" w:rsidTr="001F1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023A6A" w:rsidRPr="00023A6A" w:rsidRDefault="009F1D26" w:rsidP="00023A6A">
            <w:pPr>
              <w:spacing w:after="160" w:line="300" w:lineRule="auto"/>
              <w:jc w:val="center"/>
              <w:rPr>
                <w:rFonts w:ascii="Corbel" w:hAnsi="Corbel" w:cs="Times New Roman"/>
                <w:i/>
                <w:szCs w:val="22"/>
              </w:rPr>
            </w:pPr>
            <w:r>
              <w:rPr>
                <w:rFonts w:ascii="Corbel" w:hAnsi="Corbel" w:cs="Times New Roman"/>
                <w:i/>
                <w:szCs w:val="22"/>
              </w:rPr>
              <w:t>Postoupení pohledávky</w:t>
            </w:r>
          </w:p>
        </w:tc>
        <w:tc>
          <w:tcPr>
            <w:tcW w:w="2410" w:type="dxa"/>
            <w:vAlign w:val="center"/>
          </w:tcPr>
          <w:p w:rsidR="00023A6A" w:rsidRPr="00023A6A" w:rsidRDefault="009F1D26" w:rsidP="00023A6A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  <w:r>
              <w:rPr>
                <w:rFonts w:ascii="Corbel" w:hAnsi="Corbel" w:cs="Times New Roman"/>
                <w:i/>
                <w:szCs w:val="22"/>
              </w:rPr>
              <w:t>Věřitel</w:t>
            </w:r>
          </w:p>
        </w:tc>
        <w:tc>
          <w:tcPr>
            <w:tcW w:w="4386" w:type="dxa"/>
            <w:vAlign w:val="center"/>
          </w:tcPr>
          <w:p w:rsidR="00023A6A" w:rsidRPr="009F1D26" w:rsidRDefault="00023A6A" w:rsidP="00023A6A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  <w:u w:val="single"/>
              </w:rPr>
            </w:pPr>
            <w:r w:rsidRPr="009F1D26">
              <w:rPr>
                <w:rFonts w:ascii="Corbel" w:hAnsi="Corbel" w:cs="Times New Roman"/>
                <w:i/>
                <w:szCs w:val="22"/>
                <w:u w:val="single"/>
              </w:rPr>
              <w:t>Nesplacený dluh smí věřitel převést na jinou osobu bez souhlasu dlužníka.</w:t>
            </w:r>
          </w:p>
        </w:tc>
      </w:tr>
      <w:tr w:rsidR="00023A6A" w:rsidRPr="00023A6A" w:rsidTr="001F10C6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023A6A" w:rsidRPr="009F1D26" w:rsidRDefault="00023A6A" w:rsidP="00023A6A">
            <w:pPr>
              <w:spacing w:after="160" w:line="300" w:lineRule="auto"/>
              <w:jc w:val="center"/>
              <w:rPr>
                <w:rFonts w:ascii="Corbel" w:hAnsi="Corbel" w:cs="Times New Roman"/>
                <w:i/>
                <w:szCs w:val="22"/>
                <w:u w:val="single"/>
              </w:rPr>
            </w:pPr>
            <w:r w:rsidRPr="009F1D26">
              <w:rPr>
                <w:rFonts w:ascii="Corbel" w:hAnsi="Corbel" w:cs="Times New Roman"/>
                <w:i/>
                <w:szCs w:val="22"/>
                <w:u w:val="single"/>
              </w:rPr>
              <w:t>postoupení souboru pohledávek</w:t>
            </w:r>
          </w:p>
        </w:tc>
        <w:tc>
          <w:tcPr>
            <w:tcW w:w="2410" w:type="dxa"/>
            <w:vAlign w:val="center"/>
          </w:tcPr>
          <w:p w:rsidR="00023A6A" w:rsidRPr="00023A6A" w:rsidRDefault="009F1D26" w:rsidP="00023A6A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  <w:r>
              <w:rPr>
                <w:rFonts w:ascii="Corbel" w:hAnsi="Corbel" w:cs="Times New Roman"/>
                <w:i/>
                <w:szCs w:val="22"/>
              </w:rPr>
              <w:t>Věřitel</w:t>
            </w:r>
          </w:p>
        </w:tc>
        <w:tc>
          <w:tcPr>
            <w:tcW w:w="4386" w:type="dxa"/>
            <w:vAlign w:val="center"/>
          </w:tcPr>
          <w:p w:rsidR="00023A6A" w:rsidRPr="00023A6A" w:rsidRDefault="009F1D26" w:rsidP="00023A6A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  <w:r>
              <w:rPr>
                <w:rFonts w:ascii="Corbel" w:hAnsi="Corbel" w:cs="Times New Roman"/>
                <w:i/>
                <w:szCs w:val="22"/>
              </w:rPr>
              <w:t>-//- existující a budoucí stejného druhu či vznikající ze stejného právního důvodu.</w:t>
            </w:r>
          </w:p>
        </w:tc>
      </w:tr>
      <w:tr w:rsidR="00023A6A" w:rsidRPr="00023A6A" w:rsidTr="001F1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023A6A" w:rsidRPr="00023A6A" w:rsidRDefault="009F1D26" w:rsidP="00023A6A">
            <w:pPr>
              <w:spacing w:after="160" w:line="300" w:lineRule="auto"/>
              <w:jc w:val="center"/>
              <w:rPr>
                <w:rFonts w:ascii="Corbel" w:hAnsi="Corbel" w:cs="Times New Roman"/>
                <w:i/>
                <w:szCs w:val="22"/>
              </w:rPr>
            </w:pPr>
            <w:r>
              <w:rPr>
                <w:rFonts w:ascii="Corbel" w:hAnsi="Corbel" w:cs="Times New Roman"/>
                <w:i/>
                <w:szCs w:val="22"/>
              </w:rPr>
              <w:t>Převzetí dluhu</w:t>
            </w:r>
          </w:p>
        </w:tc>
        <w:tc>
          <w:tcPr>
            <w:tcW w:w="2410" w:type="dxa"/>
            <w:vAlign w:val="center"/>
          </w:tcPr>
          <w:p w:rsidR="00023A6A" w:rsidRPr="009F1D26" w:rsidRDefault="00023A6A" w:rsidP="00023A6A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  <w:u w:val="single"/>
              </w:rPr>
            </w:pPr>
            <w:r w:rsidRPr="009F1D26">
              <w:rPr>
                <w:rFonts w:ascii="Corbel" w:hAnsi="Corbel" w:cs="Times New Roman"/>
                <w:i/>
                <w:szCs w:val="22"/>
                <w:u w:val="single"/>
              </w:rPr>
              <w:t>změna dlužníka</w:t>
            </w:r>
          </w:p>
        </w:tc>
        <w:tc>
          <w:tcPr>
            <w:tcW w:w="4386" w:type="dxa"/>
            <w:vAlign w:val="center"/>
          </w:tcPr>
          <w:p w:rsidR="00023A6A" w:rsidRPr="00023A6A" w:rsidRDefault="009F1D26" w:rsidP="00023A6A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  <w:r>
              <w:rPr>
                <w:rFonts w:ascii="Corbel" w:hAnsi="Corbel" w:cs="Times New Roman"/>
                <w:i/>
                <w:szCs w:val="22"/>
              </w:rPr>
              <w:t>Se souhlasem věřitele smlouvou mezi dlužníky.</w:t>
            </w:r>
          </w:p>
        </w:tc>
      </w:tr>
      <w:tr w:rsidR="00023A6A" w:rsidRPr="00023A6A" w:rsidTr="00023A6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023A6A" w:rsidRPr="00023A6A" w:rsidRDefault="009F1D26" w:rsidP="00023A6A">
            <w:pPr>
              <w:spacing w:after="160" w:line="300" w:lineRule="auto"/>
              <w:jc w:val="center"/>
              <w:rPr>
                <w:rFonts w:ascii="Corbel" w:hAnsi="Corbel" w:cs="Times New Roman"/>
                <w:i/>
                <w:szCs w:val="22"/>
              </w:rPr>
            </w:pPr>
            <w:r>
              <w:rPr>
                <w:rFonts w:ascii="Corbel" w:hAnsi="Corbel" w:cs="Times New Roman"/>
                <w:i/>
                <w:szCs w:val="22"/>
              </w:rPr>
              <w:t>Přistoupení k dluhu</w:t>
            </w:r>
          </w:p>
        </w:tc>
        <w:tc>
          <w:tcPr>
            <w:tcW w:w="2410" w:type="dxa"/>
            <w:vAlign w:val="center"/>
          </w:tcPr>
          <w:p w:rsidR="00023A6A" w:rsidRPr="00023A6A" w:rsidRDefault="009F1D26" w:rsidP="00023A6A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  <w:r>
              <w:rPr>
                <w:rFonts w:ascii="Corbel" w:hAnsi="Corbel" w:cs="Times New Roman"/>
                <w:i/>
                <w:szCs w:val="22"/>
              </w:rPr>
              <w:t>Dlužník</w:t>
            </w:r>
          </w:p>
        </w:tc>
        <w:tc>
          <w:tcPr>
            <w:tcW w:w="4386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  <w:r w:rsidRPr="009F1D26">
              <w:rPr>
                <w:rFonts w:ascii="Corbel" w:hAnsi="Corbel" w:cs="Times New Roman"/>
                <w:i/>
                <w:szCs w:val="22"/>
                <w:u w:val="single"/>
              </w:rPr>
              <w:t>Přistupující se přidá na stranu dlužníka a oba jsou povinni splatit dluh společně a nerozdílně</w:t>
            </w:r>
            <w:r w:rsidRPr="00023A6A">
              <w:rPr>
                <w:rFonts w:ascii="Corbel" w:hAnsi="Corbel" w:cs="Times New Roman"/>
                <w:i/>
                <w:szCs w:val="22"/>
              </w:rPr>
              <w:t>.</w:t>
            </w:r>
          </w:p>
        </w:tc>
      </w:tr>
      <w:tr w:rsidR="00023A6A" w:rsidRPr="00023A6A" w:rsidTr="00023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023A6A" w:rsidRPr="009F1D26" w:rsidRDefault="00023A6A" w:rsidP="00023A6A">
            <w:pPr>
              <w:spacing w:after="160" w:line="300" w:lineRule="auto"/>
              <w:jc w:val="center"/>
              <w:rPr>
                <w:rFonts w:ascii="Corbel" w:hAnsi="Corbel" w:cs="Times New Roman"/>
                <w:i/>
                <w:szCs w:val="22"/>
                <w:u w:val="single"/>
              </w:rPr>
            </w:pPr>
            <w:r w:rsidRPr="009F1D26">
              <w:rPr>
                <w:rFonts w:ascii="Corbel" w:hAnsi="Corbel" w:cs="Times New Roman"/>
                <w:i/>
                <w:szCs w:val="22"/>
                <w:u w:val="single"/>
              </w:rPr>
              <w:t>převzetí majetku</w:t>
            </w:r>
          </w:p>
        </w:tc>
        <w:tc>
          <w:tcPr>
            <w:tcW w:w="2410" w:type="dxa"/>
            <w:vAlign w:val="center"/>
          </w:tcPr>
          <w:p w:rsidR="00023A6A" w:rsidRPr="00023A6A" w:rsidRDefault="009F1D26" w:rsidP="00023A6A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  <w:r>
              <w:rPr>
                <w:rFonts w:ascii="Corbel" w:hAnsi="Corbel" w:cs="Times New Roman"/>
                <w:i/>
                <w:szCs w:val="22"/>
              </w:rPr>
              <w:t>Dlužník</w:t>
            </w:r>
          </w:p>
        </w:tc>
        <w:tc>
          <w:tcPr>
            <w:tcW w:w="4386" w:type="dxa"/>
            <w:vAlign w:val="center"/>
          </w:tcPr>
          <w:p w:rsidR="00023A6A" w:rsidRPr="00023A6A" w:rsidRDefault="009F1D26" w:rsidP="00023A6A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  <w:r>
              <w:rPr>
                <w:rFonts w:ascii="Corbel" w:hAnsi="Corbel" w:cs="Times New Roman"/>
                <w:i/>
                <w:szCs w:val="22"/>
              </w:rPr>
              <w:t>Zcizitel na nabyvatele převede majetek (chata), pokud se k němu vážou závazky (hypotéka), stává se nabyvatel společně a nerozdílně se zcizitelem dlužníkem věřitele, který se může hojit na obou.</w:t>
            </w:r>
          </w:p>
        </w:tc>
      </w:tr>
      <w:tr w:rsidR="00023A6A" w:rsidRPr="00023A6A" w:rsidTr="00023A6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023A6A" w:rsidRPr="00023A6A" w:rsidRDefault="009F1D26" w:rsidP="00023A6A">
            <w:pPr>
              <w:spacing w:after="160" w:line="300" w:lineRule="auto"/>
              <w:jc w:val="center"/>
              <w:rPr>
                <w:rFonts w:ascii="Corbel" w:hAnsi="Corbel" w:cs="Times New Roman"/>
                <w:i/>
                <w:szCs w:val="22"/>
              </w:rPr>
            </w:pPr>
            <w:r>
              <w:rPr>
                <w:rFonts w:ascii="Corbel" w:hAnsi="Corbel" w:cs="Times New Roman"/>
                <w:i/>
                <w:szCs w:val="22"/>
              </w:rPr>
              <w:t>Novace</w:t>
            </w:r>
          </w:p>
        </w:tc>
        <w:tc>
          <w:tcPr>
            <w:tcW w:w="2410" w:type="dxa"/>
            <w:vAlign w:val="center"/>
          </w:tcPr>
          <w:p w:rsidR="00023A6A" w:rsidRPr="009F1D26" w:rsidRDefault="00023A6A" w:rsidP="00023A6A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  <w:u w:val="single"/>
              </w:rPr>
            </w:pPr>
            <w:r w:rsidRPr="009F1D26">
              <w:rPr>
                <w:rFonts w:ascii="Corbel" w:hAnsi="Corbel" w:cs="Times New Roman"/>
                <w:i/>
                <w:szCs w:val="22"/>
                <w:u w:val="single"/>
              </w:rPr>
              <w:t>změna obsahu závazku</w:t>
            </w:r>
          </w:p>
        </w:tc>
        <w:tc>
          <w:tcPr>
            <w:tcW w:w="4386" w:type="dxa"/>
            <w:vAlign w:val="center"/>
          </w:tcPr>
          <w:p w:rsidR="00023A6A" w:rsidRPr="00023A6A" w:rsidRDefault="009F1D26" w:rsidP="00023A6A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  <w:r>
              <w:rPr>
                <w:rFonts w:ascii="Corbel" w:hAnsi="Corbel" w:cs="Times New Roman"/>
                <w:i/>
                <w:szCs w:val="22"/>
              </w:rPr>
              <w:t>Nahrazení závazku novým dohodou.</w:t>
            </w:r>
          </w:p>
        </w:tc>
      </w:tr>
      <w:tr w:rsidR="00023A6A" w:rsidRPr="00023A6A" w:rsidTr="00023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023A6A" w:rsidRPr="00023A6A" w:rsidRDefault="009F1D26" w:rsidP="00023A6A">
            <w:pPr>
              <w:spacing w:after="160" w:line="300" w:lineRule="auto"/>
              <w:jc w:val="center"/>
              <w:rPr>
                <w:rFonts w:ascii="Corbel" w:hAnsi="Corbel" w:cs="Times New Roman"/>
                <w:i/>
                <w:szCs w:val="22"/>
              </w:rPr>
            </w:pPr>
            <w:r>
              <w:rPr>
                <w:rFonts w:ascii="Corbel" w:hAnsi="Corbel" w:cs="Times New Roman"/>
                <w:i/>
                <w:szCs w:val="22"/>
              </w:rPr>
              <w:t>Narovnání</w:t>
            </w:r>
          </w:p>
        </w:tc>
        <w:tc>
          <w:tcPr>
            <w:tcW w:w="2410" w:type="dxa"/>
            <w:vAlign w:val="center"/>
          </w:tcPr>
          <w:p w:rsidR="00023A6A" w:rsidRPr="00023A6A" w:rsidRDefault="009F1D26" w:rsidP="00023A6A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  <w:r>
              <w:rPr>
                <w:rFonts w:ascii="Corbel" w:hAnsi="Corbel" w:cs="Times New Roman"/>
                <w:i/>
                <w:szCs w:val="22"/>
              </w:rPr>
              <w:t>Obsah</w:t>
            </w:r>
          </w:p>
        </w:tc>
        <w:tc>
          <w:tcPr>
            <w:tcW w:w="4386" w:type="dxa"/>
            <w:vAlign w:val="center"/>
          </w:tcPr>
          <w:p w:rsidR="00023A6A" w:rsidRPr="00023A6A" w:rsidRDefault="00023A6A" w:rsidP="00023A6A">
            <w:pPr>
              <w:spacing w:after="160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  <w:r w:rsidRPr="009F1D26">
              <w:rPr>
                <w:rFonts w:ascii="Corbel" w:hAnsi="Corbel" w:cs="Times New Roman"/>
                <w:i/>
                <w:szCs w:val="22"/>
                <w:u w:val="single"/>
              </w:rPr>
              <w:t>Nový závazek upravuje sporná práva a povinnosti z původního závazku</w:t>
            </w:r>
            <w:r w:rsidRPr="00023A6A">
              <w:rPr>
                <w:rFonts w:ascii="Corbel" w:hAnsi="Corbel" w:cs="Times New Roman"/>
                <w:i/>
                <w:szCs w:val="22"/>
              </w:rPr>
              <w:t>.</w:t>
            </w:r>
          </w:p>
        </w:tc>
      </w:tr>
      <w:tr w:rsidR="00023A6A" w:rsidRPr="00023A6A" w:rsidTr="00023A6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023A6A" w:rsidRPr="009F1D26" w:rsidRDefault="00023A6A" w:rsidP="00023A6A">
            <w:pPr>
              <w:spacing w:after="160" w:line="300" w:lineRule="auto"/>
              <w:jc w:val="center"/>
              <w:rPr>
                <w:rFonts w:ascii="Corbel" w:hAnsi="Corbel" w:cs="Times New Roman"/>
                <w:i/>
                <w:szCs w:val="22"/>
                <w:u w:val="single"/>
              </w:rPr>
            </w:pPr>
            <w:r w:rsidRPr="009F1D26">
              <w:rPr>
                <w:rFonts w:ascii="Corbel" w:hAnsi="Corbel" w:cs="Times New Roman"/>
                <w:i/>
                <w:szCs w:val="22"/>
                <w:u w:val="single"/>
              </w:rPr>
              <w:t>postoupení smlouvy</w:t>
            </w:r>
          </w:p>
        </w:tc>
        <w:tc>
          <w:tcPr>
            <w:tcW w:w="2410" w:type="dxa"/>
            <w:vAlign w:val="center"/>
          </w:tcPr>
          <w:p w:rsidR="00023A6A" w:rsidRPr="00023A6A" w:rsidRDefault="009F1D26" w:rsidP="00023A6A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  <w:r>
              <w:rPr>
                <w:rFonts w:ascii="Corbel" w:hAnsi="Corbel" w:cs="Times New Roman"/>
                <w:i/>
                <w:szCs w:val="22"/>
              </w:rPr>
              <w:t>Změna strany</w:t>
            </w:r>
          </w:p>
        </w:tc>
        <w:tc>
          <w:tcPr>
            <w:tcW w:w="4386" w:type="dxa"/>
            <w:vAlign w:val="center"/>
          </w:tcPr>
          <w:p w:rsidR="00023A6A" w:rsidRPr="00023A6A" w:rsidRDefault="009F1D26" w:rsidP="00023A6A">
            <w:pPr>
              <w:spacing w:after="16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i/>
                <w:szCs w:val="22"/>
              </w:rPr>
            </w:pPr>
            <w:r>
              <w:rPr>
                <w:rFonts w:ascii="Corbel" w:hAnsi="Corbel" w:cs="Times New Roman"/>
                <w:i/>
                <w:szCs w:val="22"/>
              </w:rPr>
              <w:t>Dohodou stran o změně některé ze stran.</w:t>
            </w:r>
          </w:p>
        </w:tc>
      </w:tr>
    </w:tbl>
    <w:p w:rsidR="00BD3800" w:rsidRDefault="00BD3800" w:rsidP="00023A6A">
      <w:bookmarkStart w:id="0" w:name="_GoBack"/>
      <w:bookmarkEnd w:id="0"/>
    </w:p>
    <w:sectPr w:rsidR="00BD3800" w:rsidSect="00F85AEE">
      <w:headerReference w:type="default" r:id="rId6"/>
      <w:footerReference w:type="default" r:id="rId7"/>
      <w:pgSz w:w="11906" w:h="16838"/>
      <w:pgMar w:top="1134" w:right="1417" w:bottom="709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97" w:rsidRDefault="001F5097" w:rsidP="00F85AEE">
      <w:pPr>
        <w:spacing w:after="0" w:line="240" w:lineRule="auto"/>
      </w:pPr>
      <w:r>
        <w:separator/>
      </w:r>
    </w:p>
  </w:endnote>
  <w:endnote w:type="continuationSeparator" w:id="0">
    <w:p w:rsidR="001F5097" w:rsidRDefault="001F5097" w:rsidP="00F8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AEE" w:rsidRDefault="00F85AEE" w:rsidP="00F85AEE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4D8067F9" wp14:editId="5221A614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ED394F" wp14:editId="7ABC890D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AEE" w:rsidRDefault="00F85AEE" w:rsidP="00F85AEE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F85AEE" w:rsidRDefault="00F85AEE" w:rsidP="00F85AEE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F85AEE" w:rsidRPr="007509AF" w:rsidRDefault="00F85AEE" w:rsidP="00F85AEE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D394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F85AEE" w:rsidRDefault="00F85AEE" w:rsidP="00F85AEE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F85AEE" w:rsidRDefault="00F85AEE" w:rsidP="00F85AEE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F85AEE" w:rsidRPr="007509AF" w:rsidRDefault="00F85AEE" w:rsidP="00F85AEE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97" w:rsidRDefault="001F5097" w:rsidP="00F85AEE">
      <w:pPr>
        <w:spacing w:after="0" w:line="240" w:lineRule="auto"/>
      </w:pPr>
      <w:r>
        <w:separator/>
      </w:r>
    </w:p>
  </w:footnote>
  <w:footnote w:type="continuationSeparator" w:id="0">
    <w:p w:rsidR="001F5097" w:rsidRDefault="001F5097" w:rsidP="00F8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AEE" w:rsidRDefault="00F85AEE" w:rsidP="00F85AEE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21C81D9A" wp14:editId="1524579E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F85AEE" w:rsidRDefault="00F85AEE">
    <w:pPr>
      <w:pStyle w:val="Zhlav"/>
    </w:pPr>
  </w:p>
  <w:p w:rsidR="00F85AEE" w:rsidRDefault="00F85AEE">
    <w:pPr>
      <w:pStyle w:val="Zhlav"/>
    </w:pPr>
  </w:p>
  <w:p w:rsidR="00F85AEE" w:rsidRDefault="00F85AE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6A"/>
    <w:rsid w:val="00023A6A"/>
    <w:rsid w:val="001505B0"/>
    <w:rsid w:val="001F10C6"/>
    <w:rsid w:val="001F5097"/>
    <w:rsid w:val="004A56D6"/>
    <w:rsid w:val="009F12A2"/>
    <w:rsid w:val="009F1D26"/>
    <w:rsid w:val="00BD3800"/>
    <w:rsid w:val="00E26D0F"/>
    <w:rsid w:val="00F8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DF95E-FEB1-45E5-BB96-8080BC3F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38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ulkasmkou4zvraznn21">
    <w:name w:val="Tabulka s mřížkou 4 – zvýraznění 21"/>
    <w:basedOn w:val="Normlntabulka"/>
    <w:uiPriority w:val="49"/>
    <w:rsid w:val="00023A6A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  <w:tblBorders>
        <w:top w:val="single" w:sz="4" w:space="0" w:color="FFD663"/>
        <w:left w:val="single" w:sz="4" w:space="0" w:color="FFD663"/>
        <w:bottom w:val="single" w:sz="4" w:space="0" w:color="FFD663"/>
        <w:right w:val="single" w:sz="4" w:space="0" w:color="FFD663"/>
        <w:insideH w:val="single" w:sz="4" w:space="0" w:color="FFD663"/>
        <w:insideV w:val="single" w:sz="4" w:space="0" w:color="FFD6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AB900"/>
          <w:left w:val="single" w:sz="4" w:space="0" w:color="FAB900"/>
          <w:bottom w:val="single" w:sz="4" w:space="0" w:color="FAB900"/>
          <w:right w:val="single" w:sz="4" w:space="0" w:color="FAB900"/>
          <w:insideH w:val="nil"/>
          <w:insideV w:val="nil"/>
        </w:tcBorders>
        <w:shd w:val="clear" w:color="auto" w:fill="FAB900"/>
      </w:tcPr>
    </w:tblStylePr>
    <w:tblStylePr w:type="lastRow">
      <w:rPr>
        <w:b/>
        <w:bCs/>
      </w:rPr>
      <w:tblPr/>
      <w:tcPr>
        <w:tcBorders>
          <w:top w:val="double" w:sz="4" w:space="0" w:color="FAB9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/>
      </w:tcPr>
    </w:tblStylePr>
    <w:tblStylePr w:type="band1Horz">
      <w:tblPr/>
      <w:tcPr>
        <w:shd w:val="clear" w:color="auto" w:fill="FFF1CB"/>
      </w:tcPr>
    </w:tblStylePr>
  </w:style>
  <w:style w:type="table" w:customStyle="1" w:styleId="Tabulkasmkou4zvraznn31">
    <w:name w:val="Tabulka s mřížkou 4 – zvýraznění 31"/>
    <w:basedOn w:val="Normlntabulka"/>
    <w:uiPriority w:val="49"/>
    <w:rsid w:val="00023A6A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  <w:tblBorders>
        <w:top w:val="single" w:sz="4" w:space="0" w:color="C1E36D"/>
        <w:left w:val="single" w:sz="4" w:space="0" w:color="C1E36D"/>
        <w:bottom w:val="single" w:sz="4" w:space="0" w:color="C1E36D"/>
        <w:right w:val="single" w:sz="4" w:space="0" w:color="C1E36D"/>
        <w:insideH w:val="single" w:sz="4" w:space="0" w:color="C1E36D"/>
        <w:insideV w:val="single" w:sz="4" w:space="0" w:color="C1E36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0BB23"/>
          <w:left w:val="single" w:sz="4" w:space="0" w:color="90BB23"/>
          <w:bottom w:val="single" w:sz="4" w:space="0" w:color="90BB23"/>
          <w:right w:val="single" w:sz="4" w:space="0" w:color="90BB23"/>
          <w:insideH w:val="nil"/>
          <w:insideV w:val="nil"/>
        </w:tcBorders>
        <w:shd w:val="clear" w:color="auto" w:fill="90BB23"/>
      </w:tcPr>
    </w:tblStylePr>
    <w:tblStylePr w:type="lastRow">
      <w:rPr>
        <w:b/>
        <w:bCs/>
      </w:rPr>
      <w:tblPr/>
      <w:tcPr>
        <w:tcBorders>
          <w:top w:val="double" w:sz="4" w:space="0" w:color="90BB2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6CE"/>
      </w:tcPr>
    </w:tblStylePr>
    <w:tblStylePr w:type="band1Horz">
      <w:tblPr/>
      <w:tcPr>
        <w:shd w:val="clear" w:color="auto" w:fill="EAF6CE"/>
      </w:tcPr>
    </w:tblStylePr>
  </w:style>
  <w:style w:type="paragraph" w:styleId="Zhlav">
    <w:name w:val="header"/>
    <w:basedOn w:val="Normln"/>
    <w:link w:val="ZhlavChar"/>
    <w:uiPriority w:val="99"/>
    <w:unhideWhenUsed/>
    <w:rsid w:val="00F8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5AEE"/>
  </w:style>
  <w:style w:type="paragraph" w:styleId="Zpat">
    <w:name w:val="footer"/>
    <w:basedOn w:val="Normln"/>
    <w:link w:val="ZpatChar"/>
    <w:uiPriority w:val="99"/>
    <w:unhideWhenUsed/>
    <w:rsid w:val="00F8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5AEE"/>
  </w:style>
  <w:style w:type="paragraph" w:styleId="Bezmezer">
    <w:name w:val="No Spacing"/>
    <w:uiPriority w:val="1"/>
    <w:qFormat/>
    <w:rsid w:val="00F85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Lörincz</dc:creator>
  <cp:lastModifiedBy>Eva Kejkulová</cp:lastModifiedBy>
  <cp:revision>3</cp:revision>
  <dcterms:created xsi:type="dcterms:W3CDTF">2019-11-29T13:37:00Z</dcterms:created>
  <dcterms:modified xsi:type="dcterms:W3CDTF">2020-04-09T08:38:00Z</dcterms:modified>
</cp:coreProperties>
</file>