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50" w:rsidRPr="00663D48" w:rsidRDefault="00E77A50" w:rsidP="00E77A50">
      <w:pPr>
        <w:pStyle w:val="Normln1"/>
        <w:shd w:val="clear" w:color="auto" w:fill="FFFFFF"/>
        <w:tabs>
          <w:tab w:val="left" w:pos="124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Pracovní list 3 – Cenné papíry - příklady</w:t>
      </w:r>
    </w:p>
    <w:p w:rsidR="00E77A50" w:rsidRPr="00663D48" w:rsidRDefault="00E77A50" w:rsidP="00E77A50">
      <w:pPr>
        <w:pStyle w:val="Normln1"/>
        <w:shd w:val="clear" w:color="auto" w:fill="FFFFFF"/>
        <w:tabs>
          <w:tab w:val="left" w:pos="1247"/>
        </w:tabs>
        <w:spacing w:before="0" w:beforeAutospacing="0" w:after="0" w:afterAutospacing="0"/>
        <w:rPr>
          <w:rFonts w:asciiTheme="minorHAnsi" w:hAnsiTheme="minorHAnsi"/>
        </w:rPr>
      </w:pPr>
    </w:p>
    <w:p w:rsidR="00E77A50" w:rsidRPr="00D0139E" w:rsidRDefault="00E77A50" w:rsidP="00E77A50">
      <w:pPr>
        <w:pStyle w:val="Normln1"/>
        <w:numPr>
          <w:ilvl w:val="0"/>
          <w:numId w:val="3"/>
        </w:numPr>
        <w:shd w:val="clear" w:color="auto" w:fill="FFFFFF"/>
        <w:tabs>
          <w:tab w:val="left" w:pos="1247"/>
        </w:tabs>
        <w:spacing w:before="0" w:beforeAutospacing="0" w:after="0" w:afterAutospacing="0"/>
        <w:ind w:left="360"/>
        <w:rPr>
          <w:rFonts w:asciiTheme="minorHAnsi" w:hAnsiTheme="minorHAnsi"/>
        </w:rPr>
      </w:pPr>
      <w:r w:rsidRPr="00D0139E">
        <w:rPr>
          <w:rFonts w:asciiTheme="minorHAnsi" w:eastAsia="HelveticaCE-BoldOblique" w:hAnsiTheme="minorHAnsi"/>
          <w:bCs/>
          <w:iCs/>
          <w:color w:val="231F20"/>
        </w:rPr>
        <w:t>Prostudujte si vzor akcie a vyhledejte jmenovitou hodnotu akcie. Určete, zda se jedná o akcii na majitele. Lze z ukázky stanovit tržní hodnotu (kurs) akcie?</w:t>
      </w:r>
    </w:p>
    <w:p w:rsidR="00E77A50" w:rsidRDefault="00E77A50" w:rsidP="00E77A50">
      <w:pPr>
        <w:rPr>
          <w:sz w:val="24"/>
          <w:szCs w:val="24"/>
        </w:rPr>
      </w:pPr>
      <w:r w:rsidRPr="00D0139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905A56D" wp14:editId="68A84B4B">
            <wp:simplePos x="0" y="0"/>
            <wp:positionH relativeFrom="column">
              <wp:posOffset>801549</wp:posOffset>
            </wp:positionH>
            <wp:positionV relativeFrom="paragraph">
              <wp:posOffset>80645</wp:posOffset>
            </wp:positionV>
            <wp:extent cx="4700492" cy="3181350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98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39E">
        <w:rPr>
          <w:sz w:val="24"/>
          <w:szCs w:val="24"/>
        </w:rPr>
        <w:tab/>
      </w:r>
    </w:p>
    <w:p w:rsidR="00E77A50" w:rsidRDefault="00E77A50" w:rsidP="00E77A50">
      <w:pPr>
        <w:rPr>
          <w:sz w:val="24"/>
          <w:szCs w:val="24"/>
        </w:rPr>
      </w:pPr>
    </w:p>
    <w:p w:rsidR="00E77A50" w:rsidRDefault="00E77A50" w:rsidP="00E77A50">
      <w:pPr>
        <w:rPr>
          <w:sz w:val="24"/>
          <w:szCs w:val="24"/>
        </w:rPr>
      </w:pPr>
    </w:p>
    <w:p w:rsidR="00E77A50" w:rsidRDefault="00E77A50" w:rsidP="00E77A50">
      <w:pPr>
        <w:rPr>
          <w:sz w:val="24"/>
          <w:szCs w:val="24"/>
        </w:rPr>
      </w:pPr>
    </w:p>
    <w:p w:rsidR="00E77A50" w:rsidRDefault="00E77A50" w:rsidP="00E77A50">
      <w:pPr>
        <w:rPr>
          <w:sz w:val="24"/>
          <w:szCs w:val="24"/>
        </w:rPr>
      </w:pPr>
    </w:p>
    <w:p w:rsidR="00E77A50" w:rsidRDefault="00E77A50" w:rsidP="00E77A50">
      <w:pPr>
        <w:rPr>
          <w:sz w:val="24"/>
          <w:szCs w:val="24"/>
        </w:rPr>
      </w:pPr>
    </w:p>
    <w:p w:rsidR="00E77A50" w:rsidRDefault="00E77A50" w:rsidP="00E77A50">
      <w:pPr>
        <w:rPr>
          <w:sz w:val="24"/>
          <w:szCs w:val="24"/>
        </w:rPr>
      </w:pPr>
    </w:p>
    <w:p w:rsidR="00E77A50" w:rsidRDefault="00E77A50" w:rsidP="00E77A50">
      <w:pPr>
        <w:rPr>
          <w:sz w:val="24"/>
          <w:szCs w:val="24"/>
        </w:rPr>
      </w:pPr>
    </w:p>
    <w:p w:rsidR="00E77A50" w:rsidRDefault="00E77A50" w:rsidP="00E77A50">
      <w:pPr>
        <w:rPr>
          <w:sz w:val="24"/>
          <w:szCs w:val="24"/>
        </w:rPr>
      </w:pPr>
    </w:p>
    <w:p w:rsidR="00E77A50" w:rsidRPr="00D0139E" w:rsidRDefault="00E77A50" w:rsidP="00E77A50">
      <w:pPr>
        <w:rPr>
          <w:sz w:val="24"/>
          <w:szCs w:val="24"/>
        </w:rPr>
      </w:pPr>
      <w:r w:rsidRPr="00D0139E">
        <w:rPr>
          <w:sz w:val="24"/>
          <w:szCs w:val="24"/>
        </w:rPr>
        <w:tab/>
      </w:r>
    </w:p>
    <w:p w:rsidR="00E77A50" w:rsidRPr="00D0139E" w:rsidRDefault="00E77A50" w:rsidP="00E77A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Pan 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Nováček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nakoupil 100 akcií v roce 20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1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>6 po 1 800 Kč. V roce 20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18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byla tržní cena akcie 2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150 Kč. Kolik by 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utržil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v roce 20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18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>, kdyby se rozhodl akcie prodat?</w:t>
      </w:r>
    </w:p>
    <w:p w:rsidR="00E77A50" w:rsidRPr="00D0139E" w:rsidRDefault="00E77A50" w:rsidP="00E77A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Pan 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Zelený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je majitelem sedmi akcií 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Komerční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banky, která vyplácela za daný rok svým akcionářům dividendu za každou akcii ve výši 9% 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>z nominální hodnoty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1</w:t>
      </w:r>
      <w:r>
        <w:rPr>
          <w:rFonts w:eastAsia="HelveticaCE-BoldOblique" w:cs="Times New Roman"/>
          <w:bCs/>
          <w:iCs/>
          <w:color w:val="231F20"/>
          <w:sz w:val="24"/>
          <w:szCs w:val="24"/>
        </w:rPr>
        <w:t xml:space="preserve"> </w:t>
      </w:r>
      <w:r w:rsidRPr="00D0139E">
        <w:rPr>
          <w:rFonts w:eastAsia="HelveticaCE-BoldOblique" w:cs="Times New Roman"/>
          <w:bCs/>
          <w:iCs/>
          <w:color w:val="231F20"/>
          <w:sz w:val="24"/>
          <w:szCs w:val="24"/>
        </w:rPr>
        <w:t>000 Kč. Určete:</w:t>
      </w:r>
    </w:p>
    <w:p w:rsidR="00E77A50" w:rsidRPr="003E7C43" w:rsidRDefault="00E77A50" w:rsidP="00E77A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E7C43">
        <w:rPr>
          <w:rFonts w:cs="Times New Roman"/>
          <w:sz w:val="24"/>
          <w:szCs w:val="24"/>
        </w:rPr>
        <w:t>celkovou výši dividendy, kterou by měl dostat akcionář pan Z</w:t>
      </w:r>
      <w:r>
        <w:rPr>
          <w:rFonts w:cs="Times New Roman"/>
          <w:sz w:val="24"/>
          <w:szCs w:val="24"/>
        </w:rPr>
        <w:t>elený</w:t>
      </w:r>
      <w:r w:rsidRPr="003E7C43">
        <w:rPr>
          <w:rFonts w:cs="Times New Roman"/>
          <w:sz w:val="24"/>
          <w:szCs w:val="24"/>
        </w:rPr>
        <w:t xml:space="preserve"> za daný rok (bez daně</w:t>
      </w:r>
      <w:r>
        <w:rPr>
          <w:rFonts w:cs="Times New Roman"/>
          <w:sz w:val="24"/>
          <w:szCs w:val="24"/>
        </w:rPr>
        <w:t xml:space="preserve"> </w:t>
      </w:r>
      <w:r w:rsidRPr="003E7C43">
        <w:rPr>
          <w:rFonts w:cs="Times New Roman"/>
          <w:sz w:val="24"/>
          <w:szCs w:val="24"/>
        </w:rPr>
        <w:t>z příjmu);</w:t>
      </w:r>
    </w:p>
    <w:p w:rsidR="00E77A50" w:rsidRPr="00D0139E" w:rsidRDefault="00E77A50" w:rsidP="00E77A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>skutečnou výši dividendy, kterou obdrží pan Z</w:t>
      </w:r>
      <w:r>
        <w:rPr>
          <w:rFonts w:cs="Times New Roman"/>
          <w:sz w:val="24"/>
          <w:szCs w:val="24"/>
        </w:rPr>
        <w:t>elený</w:t>
      </w:r>
      <w:r w:rsidRPr="00D0139E">
        <w:rPr>
          <w:rFonts w:cs="Times New Roman"/>
          <w:sz w:val="24"/>
          <w:szCs w:val="24"/>
        </w:rPr>
        <w:t xml:space="preserve"> po uplatnění daně z příjmu (15 %);</w:t>
      </w:r>
    </w:p>
    <w:p w:rsidR="00E77A50" w:rsidRPr="00D0139E" w:rsidRDefault="00E77A50" w:rsidP="00E77A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 xml:space="preserve">okamžitou tržní cenu sedmi akcií </w:t>
      </w:r>
      <w:r>
        <w:rPr>
          <w:rFonts w:cs="Times New Roman"/>
          <w:sz w:val="24"/>
          <w:szCs w:val="24"/>
        </w:rPr>
        <w:t>Komerční</w:t>
      </w:r>
      <w:r w:rsidRPr="00D0139E">
        <w:rPr>
          <w:rFonts w:cs="Times New Roman"/>
          <w:sz w:val="24"/>
          <w:szCs w:val="24"/>
        </w:rPr>
        <w:t xml:space="preserve"> banky. Kurzovní lístek udává kurz jedné akcii </w:t>
      </w:r>
      <w:r>
        <w:rPr>
          <w:rFonts w:cs="Times New Roman"/>
          <w:sz w:val="24"/>
          <w:szCs w:val="24"/>
        </w:rPr>
        <w:t>KB</w:t>
      </w:r>
      <w:r w:rsidRPr="00D0139E">
        <w:rPr>
          <w:rFonts w:cs="Times New Roman"/>
          <w:sz w:val="24"/>
          <w:szCs w:val="24"/>
        </w:rPr>
        <w:t xml:space="preserve"> na Burze cenných papírů ve výši </w:t>
      </w:r>
      <w:r>
        <w:rPr>
          <w:rFonts w:cs="Times New Roman"/>
          <w:sz w:val="24"/>
          <w:szCs w:val="24"/>
        </w:rPr>
        <w:t>1050</w:t>
      </w:r>
      <w:r w:rsidRPr="00D0139E">
        <w:rPr>
          <w:rFonts w:cs="Times New Roman"/>
          <w:sz w:val="24"/>
          <w:szCs w:val="24"/>
        </w:rPr>
        <w:t xml:space="preserve"> Kč.</w:t>
      </w:r>
    </w:p>
    <w:p w:rsidR="00E77A50" w:rsidRPr="00D0139E" w:rsidRDefault="00E77A50" w:rsidP="00E77A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>Portfolio pana Z</w:t>
      </w:r>
      <w:r>
        <w:rPr>
          <w:rFonts w:cs="Times New Roman"/>
          <w:sz w:val="24"/>
          <w:szCs w:val="24"/>
        </w:rPr>
        <w:t xml:space="preserve">eleného </w:t>
      </w:r>
      <w:r w:rsidRPr="00D0139E">
        <w:rPr>
          <w:rFonts w:cs="Times New Roman"/>
          <w:sz w:val="24"/>
          <w:szCs w:val="24"/>
        </w:rPr>
        <w:t xml:space="preserve">je tvořeno 7 akciemi </w:t>
      </w:r>
      <w:r>
        <w:rPr>
          <w:rFonts w:cs="Times New Roman"/>
          <w:sz w:val="24"/>
          <w:szCs w:val="24"/>
        </w:rPr>
        <w:t>Komerční</w:t>
      </w:r>
      <w:r w:rsidRPr="00D0139E">
        <w:rPr>
          <w:rFonts w:cs="Times New Roman"/>
          <w:sz w:val="24"/>
          <w:szCs w:val="24"/>
        </w:rPr>
        <w:t xml:space="preserve"> banky, 10 akciemi </w:t>
      </w:r>
      <w:proofErr w:type="spellStart"/>
      <w:r>
        <w:rPr>
          <w:rFonts w:cs="Times New Roman"/>
          <w:sz w:val="24"/>
          <w:szCs w:val="24"/>
        </w:rPr>
        <w:t>ČEZu</w:t>
      </w:r>
      <w:proofErr w:type="spellEnd"/>
      <w:r w:rsidRPr="00D0139E">
        <w:rPr>
          <w:rFonts w:cs="Times New Roman"/>
          <w:sz w:val="24"/>
          <w:szCs w:val="24"/>
        </w:rPr>
        <w:t xml:space="preserve"> a 3 akciemi </w:t>
      </w:r>
      <w:r>
        <w:rPr>
          <w:rFonts w:cs="Times New Roman"/>
          <w:sz w:val="24"/>
          <w:szCs w:val="24"/>
        </w:rPr>
        <w:t>Philip Morris ČR</w:t>
      </w:r>
      <w:r w:rsidRPr="00D0139E">
        <w:rPr>
          <w:rFonts w:cs="Times New Roman"/>
          <w:sz w:val="24"/>
          <w:szCs w:val="24"/>
        </w:rPr>
        <w:t>. Určete strukturu portfolia pana Z</w:t>
      </w:r>
      <w:r>
        <w:rPr>
          <w:rFonts w:cs="Times New Roman"/>
          <w:sz w:val="24"/>
          <w:szCs w:val="24"/>
        </w:rPr>
        <w:t>eleného</w:t>
      </w:r>
      <w:r w:rsidRPr="00D0139E">
        <w:rPr>
          <w:rFonts w:cs="Times New Roman"/>
          <w:sz w:val="24"/>
          <w:szCs w:val="24"/>
        </w:rPr>
        <w:t xml:space="preserve"> v procentech.</w:t>
      </w:r>
    </w:p>
    <w:p w:rsidR="00E77A50" w:rsidRPr="00D0139E" w:rsidRDefault="00E77A50" w:rsidP="00E77A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Česká spořitelna</w:t>
      </w:r>
      <w:r w:rsidRPr="00D0139E">
        <w:rPr>
          <w:rFonts w:cs="Times New Roman"/>
          <w:sz w:val="24"/>
          <w:szCs w:val="24"/>
        </w:rPr>
        <w:t xml:space="preserve"> vyplácela v daném roce svým akcionářům dividendu ve výši </w:t>
      </w:r>
      <w:r>
        <w:rPr>
          <w:rFonts w:cs="Times New Roman"/>
          <w:sz w:val="24"/>
          <w:szCs w:val="24"/>
        </w:rPr>
        <w:t>8</w:t>
      </w:r>
      <w:r w:rsidRPr="00D0139E">
        <w:rPr>
          <w:rFonts w:cs="Times New Roman"/>
          <w:sz w:val="24"/>
          <w:szCs w:val="24"/>
        </w:rPr>
        <w:t>% na každou akcii v nominál</w:t>
      </w:r>
      <w:r>
        <w:rPr>
          <w:rFonts w:cs="Times New Roman"/>
          <w:sz w:val="24"/>
          <w:szCs w:val="24"/>
        </w:rPr>
        <w:t>ní hodnotě 1 000 Kč. Vypočítejte:</w:t>
      </w:r>
    </w:p>
    <w:p w:rsidR="00E77A50" w:rsidRPr="00A45CAF" w:rsidRDefault="00E77A50" w:rsidP="00E77A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0"/>
        <w:rPr>
          <w:rFonts w:cs="Times New Roman"/>
          <w:sz w:val="24"/>
          <w:szCs w:val="24"/>
        </w:rPr>
      </w:pPr>
      <w:r w:rsidRPr="00A45CAF">
        <w:rPr>
          <w:rFonts w:cs="Times New Roman"/>
          <w:sz w:val="24"/>
          <w:szCs w:val="24"/>
        </w:rPr>
        <w:t>celkovou výši dividendy po zdanění, kterou by měl dostat akcionář, který je držitelem 16 kusů akcií České spořitelny.</w:t>
      </w:r>
    </w:p>
    <w:p w:rsidR="00E77A50" w:rsidRPr="00D0139E" w:rsidRDefault="00E77A50" w:rsidP="00E77A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0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 xml:space="preserve">okamžitou tržní hodnotu </w:t>
      </w:r>
      <w:r>
        <w:rPr>
          <w:rFonts w:cs="Times New Roman"/>
          <w:sz w:val="24"/>
          <w:szCs w:val="24"/>
        </w:rPr>
        <w:t>1</w:t>
      </w:r>
      <w:r w:rsidRPr="00D0139E">
        <w:rPr>
          <w:rFonts w:cs="Times New Roman"/>
          <w:sz w:val="24"/>
          <w:szCs w:val="24"/>
        </w:rPr>
        <w:t xml:space="preserve">6 akcií </w:t>
      </w:r>
      <w:r>
        <w:rPr>
          <w:rFonts w:cs="Times New Roman"/>
          <w:sz w:val="24"/>
          <w:szCs w:val="24"/>
        </w:rPr>
        <w:t>České spořitelny</w:t>
      </w:r>
      <w:r w:rsidRPr="00D0139E">
        <w:rPr>
          <w:rFonts w:cs="Times New Roman"/>
          <w:sz w:val="24"/>
          <w:szCs w:val="24"/>
        </w:rPr>
        <w:t xml:space="preserve">, jestliže kurzový lístek udával kurz jedné akcie ve výši </w:t>
      </w:r>
      <w:r>
        <w:rPr>
          <w:rFonts w:cs="Times New Roman"/>
          <w:sz w:val="24"/>
          <w:szCs w:val="24"/>
        </w:rPr>
        <w:t xml:space="preserve">1 </w:t>
      </w:r>
      <w:r w:rsidRPr="00D0139E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2</w:t>
      </w:r>
      <w:r w:rsidRPr="00D0139E">
        <w:rPr>
          <w:rFonts w:cs="Times New Roman"/>
          <w:sz w:val="24"/>
          <w:szCs w:val="24"/>
        </w:rPr>
        <w:t>0 Kč.</w:t>
      </w:r>
    </w:p>
    <w:p w:rsidR="00E77A50" w:rsidRDefault="00E77A50" w:rsidP="00E77A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Paní Červená si půjčila peníze od známého a podepsala směnku na částku 150 000 Kč, splatnou za jeden rok od podepsání směnky. Kolik korun si ve skutečnosti půjčila, jestliže domluvená roční úroková míra činila 7% p. a.?</w:t>
      </w:r>
    </w:p>
    <w:p w:rsidR="00E77A50" w:rsidRDefault="00E77A50" w:rsidP="00E77A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Paní Opatrná</w:t>
      </w:r>
      <w:r w:rsidRPr="00D0139E">
        <w:rPr>
          <w:rFonts w:cs="Times New Roman"/>
          <w:sz w:val="24"/>
          <w:szCs w:val="24"/>
        </w:rPr>
        <w:t xml:space="preserve"> zakoupil</w:t>
      </w:r>
      <w:r>
        <w:rPr>
          <w:rFonts w:cs="Times New Roman"/>
          <w:sz w:val="24"/>
          <w:szCs w:val="24"/>
        </w:rPr>
        <w:t xml:space="preserve">a </w:t>
      </w:r>
      <w:r w:rsidRPr="00D0139E">
        <w:rPr>
          <w:rFonts w:cs="Times New Roman"/>
          <w:sz w:val="24"/>
          <w:szCs w:val="24"/>
        </w:rPr>
        <w:t xml:space="preserve">u Investiční banky depozitní certifikát se lhůtou </w:t>
      </w:r>
      <w:r>
        <w:rPr>
          <w:rFonts w:cs="Times New Roman"/>
          <w:sz w:val="24"/>
          <w:szCs w:val="24"/>
        </w:rPr>
        <w:t>splatnosti jeden rok. Při jeho</w:t>
      </w:r>
      <w:r w:rsidRPr="00D0139E">
        <w:rPr>
          <w:rFonts w:cs="Times New Roman"/>
          <w:sz w:val="24"/>
          <w:szCs w:val="24"/>
        </w:rPr>
        <w:t xml:space="preserve"> nákupu zaplatil</w:t>
      </w:r>
      <w:r>
        <w:rPr>
          <w:rFonts w:cs="Times New Roman"/>
          <w:sz w:val="24"/>
          <w:szCs w:val="24"/>
        </w:rPr>
        <w:t>a</w:t>
      </w:r>
      <w:r w:rsidRPr="00D0139E">
        <w:rPr>
          <w:rFonts w:cs="Times New Roman"/>
          <w:sz w:val="24"/>
          <w:szCs w:val="24"/>
        </w:rPr>
        <w:t xml:space="preserve"> částku menší (vklad pod pari), než je ta, která </w:t>
      </w:r>
      <w:r>
        <w:rPr>
          <w:rFonts w:cs="Times New Roman"/>
          <w:sz w:val="24"/>
          <w:szCs w:val="24"/>
        </w:rPr>
        <w:t>jí</w:t>
      </w:r>
      <w:r w:rsidRPr="00D0139E">
        <w:rPr>
          <w:rFonts w:cs="Times New Roman"/>
          <w:sz w:val="24"/>
          <w:szCs w:val="24"/>
        </w:rPr>
        <w:t xml:space="preserve"> bude po uplynutí roku zaplacena (nominále). </w:t>
      </w:r>
      <w:r>
        <w:rPr>
          <w:rFonts w:cs="Times New Roman"/>
          <w:sz w:val="24"/>
          <w:szCs w:val="24"/>
        </w:rPr>
        <w:t>V</w:t>
      </w:r>
      <w:r w:rsidRPr="00D0139E">
        <w:rPr>
          <w:rFonts w:cs="Times New Roman"/>
          <w:sz w:val="24"/>
          <w:szCs w:val="24"/>
        </w:rPr>
        <w:t>ypočítal</w:t>
      </w:r>
      <w:r>
        <w:rPr>
          <w:rFonts w:cs="Times New Roman"/>
          <w:sz w:val="24"/>
          <w:szCs w:val="24"/>
        </w:rPr>
        <w:t>a si</w:t>
      </w:r>
      <w:r w:rsidRPr="00D0139E">
        <w:rPr>
          <w:rFonts w:cs="Times New Roman"/>
          <w:sz w:val="24"/>
          <w:szCs w:val="24"/>
        </w:rPr>
        <w:t xml:space="preserve">, že toto </w:t>
      </w:r>
      <w:proofErr w:type="gramStart"/>
      <w:r w:rsidRPr="00D0139E">
        <w:rPr>
          <w:rFonts w:cs="Times New Roman"/>
          <w:sz w:val="24"/>
          <w:szCs w:val="24"/>
        </w:rPr>
        <w:t>nominále</w:t>
      </w:r>
      <w:proofErr w:type="gramEnd"/>
      <w:r w:rsidRPr="00D0139E">
        <w:rPr>
          <w:rFonts w:cs="Times New Roman"/>
          <w:sz w:val="24"/>
          <w:szCs w:val="24"/>
        </w:rPr>
        <w:t xml:space="preserve"> bude celkem činit 80</w:t>
      </w:r>
      <w:r>
        <w:rPr>
          <w:rFonts w:cs="Times New Roman"/>
          <w:sz w:val="24"/>
          <w:szCs w:val="24"/>
        </w:rPr>
        <w:t xml:space="preserve"> </w:t>
      </w:r>
      <w:r w:rsidRPr="00D0139E">
        <w:rPr>
          <w:rFonts w:cs="Times New Roman"/>
          <w:sz w:val="24"/>
          <w:szCs w:val="24"/>
        </w:rPr>
        <w:t>000 Kč. Dále shledal</w:t>
      </w:r>
      <w:r>
        <w:rPr>
          <w:rFonts w:cs="Times New Roman"/>
          <w:sz w:val="24"/>
          <w:szCs w:val="24"/>
        </w:rPr>
        <w:t>a</w:t>
      </w:r>
      <w:r w:rsidRPr="00D0139E">
        <w:rPr>
          <w:rFonts w:cs="Times New Roman"/>
          <w:sz w:val="24"/>
          <w:szCs w:val="24"/>
        </w:rPr>
        <w:t xml:space="preserve">, že po odečtení daně z příjmu </w:t>
      </w:r>
      <w:r>
        <w:rPr>
          <w:rFonts w:cs="Times New Roman"/>
          <w:sz w:val="24"/>
          <w:szCs w:val="24"/>
        </w:rPr>
        <w:t xml:space="preserve">(15%) </w:t>
      </w:r>
      <w:r w:rsidRPr="00D0139E">
        <w:rPr>
          <w:rFonts w:cs="Times New Roman"/>
          <w:sz w:val="24"/>
          <w:szCs w:val="24"/>
        </w:rPr>
        <w:t xml:space="preserve">zhodnotí svůj vklad o 7823,40 Kč. Zjistěte, </w:t>
      </w:r>
      <w:r w:rsidRPr="00D0139E">
        <w:rPr>
          <w:rFonts w:cs="Times New Roman"/>
          <w:sz w:val="24"/>
          <w:szCs w:val="24"/>
        </w:rPr>
        <w:lastRenderedPageBreak/>
        <w:t>jakou částku zaplatil</w:t>
      </w:r>
      <w:r>
        <w:rPr>
          <w:rFonts w:cs="Times New Roman"/>
          <w:sz w:val="24"/>
          <w:szCs w:val="24"/>
        </w:rPr>
        <w:t>a paní Opatrná při nákupu depozitní</w:t>
      </w:r>
      <w:r w:rsidRPr="00D0139E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o</w:t>
      </w:r>
      <w:r w:rsidRPr="00D0139E">
        <w:rPr>
          <w:rFonts w:cs="Times New Roman"/>
          <w:sz w:val="24"/>
          <w:szCs w:val="24"/>
        </w:rPr>
        <w:t xml:space="preserve"> certifikát</w:t>
      </w:r>
      <w:r>
        <w:rPr>
          <w:rFonts w:cs="Times New Roman"/>
          <w:sz w:val="24"/>
          <w:szCs w:val="24"/>
        </w:rPr>
        <w:t>u</w:t>
      </w:r>
      <w:r w:rsidRPr="00D0139E">
        <w:rPr>
          <w:rFonts w:cs="Times New Roman"/>
          <w:sz w:val="24"/>
          <w:szCs w:val="24"/>
        </w:rPr>
        <w:t>. Vypočítejte, o kolik % by zhodnotil</w:t>
      </w:r>
      <w:r>
        <w:rPr>
          <w:rFonts w:cs="Times New Roman"/>
          <w:sz w:val="24"/>
          <w:szCs w:val="24"/>
        </w:rPr>
        <w:t>a</w:t>
      </w:r>
      <w:r w:rsidRPr="00D0139E">
        <w:rPr>
          <w:rFonts w:cs="Times New Roman"/>
          <w:sz w:val="24"/>
          <w:szCs w:val="24"/>
        </w:rPr>
        <w:t xml:space="preserve"> svůj původní vklad, kdyby obdržel</w:t>
      </w:r>
      <w:r>
        <w:rPr>
          <w:rFonts w:cs="Times New Roman"/>
          <w:sz w:val="24"/>
          <w:szCs w:val="24"/>
        </w:rPr>
        <w:t>a</w:t>
      </w:r>
      <w:r w:rsidRPr="00D0139E">
        <w:rPr>
          <w:rFonts w:cs="Times New Roman"/>
          <w:sz w:val="24"/>
          <w:szCs w:val="24"/>
        </w:rPr>
        <w:t xml:space="preserve"> nominální hodnotu sv</w:t>
      </w:r>
      <w:r>
        <w:rPr>
          <w:rFonts w:cs="Times New Roman"/>
          <w:sz w:val="24"/>
          <w:szCs w:val="24"/>
        </w:rPr>
        <w:t>é</w:t>
      </w:r>
      <w:r w:rsidRPr="00D0139E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o</w:t>
      </w:r>
      <w:r w:rsidRPr="00D0139E">
        <w:rPr>
          <w:rFonts w:cs="Times New Roman"/>
          <w:sz w:val="24"/>
          <w:szCs w:val="24"/>
        </w:rPr>
        <w:t xml:space="preserve"> certifikát</w:t>
      </w:r>
      <w:r>
        <w:rPr>
          <w:rFonts w:cs="Times New Roman"/>
          <w:sz w:val="24"/>
          <w:szCs w:val="24"/>
        </w:rPr>
        <w:t>u</w:t>
      </w:r>
      <w:r w:rsidRPr="00D0139E">
        <w:rPr>
          <w:rFonts w:cs="Times New Roman"/>
          <w:sz w:val="24"/>
          <w:szCs w:val="24"/>
        </w:rPr>
        <w:t>. Určete, o kolik % skutečně zhodnotil</w:t>
      </w:r>
      <w:r>
        <w:rPr>
          <w:rFonts w:cs="Times New Roman"/>
          <w:sz w:val="24"/>
          <w:szCs w:val="24"/>
        </w:rPr>
        <w:t>a</w:t>
      </w:r>
      <w:r w:rsidRPr="00D0139E">
        <w:rPr>
          <w:rFonts w:cs="Times New Roman"/>
          <w:sz w:val="24"/>
          <w:szCs w:val="24"/>
        </w:rPr>
        <w:t xml:space="preserve"> svůj vklad.</w:t>
      </w:r>
    </w:p>
    <w:p w:rsidR="00E77A50" w:rsidRPr="00663D48" w:rsidRDefault="00E77A50" w:rsidP="00E77A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7A50" w:rsidRPr="002B1E8A" w:rsidRDefault="00E77A50" w:rsidP="00E77A5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2B1E8A">
        <w:rPr>
          <w:rFonts w:cs="Times New Roman"/>
          <w:sz w:val="24"/>
          <w:szCs w:val="24"/>
        </w:rPr>
        <w:t xml:space="preserve">V následující tabulce doplňte </w:t>
      </w:r>
    </w:p>
    <w:p w:rsidR="00E77A50" w:rsidRPr="00D0139E" w:rsidRDefault="00E77A50" w:rsidP="00E77A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 xml:space="preserve">výši dividendy v Kč na jednu akcii, </w:t>
      </w:r>
    </w:p>
    <w:p w:rsidR="00E77A50" w:rsidRPr="00D0139E" w:rsidRDefault="00E77A50" w:rsidP="00E77A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>celkový hrubý výnos z daného počtu akcii, který by měl majitel obdržet za daný rok,</w:t>
      </w:r>
    </w:p>
    <w:p w:rsidR="00E77A50" w:rsidRPr="00D0139E" w:rsidRDefault="00E77A50" w:rsidP="00E77A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>čistý výnos z daného počtu akcií, který akcionář obdržel po uplatnění daně z příjmu (15%),</w:t>
      </w:r>
    </w:p>
    <w:p w:rsidR="00E77A50" w:rsidRPr="00D0139E" w:rsidRDefault="00E77A50" w:rsidP="00E77A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139E">
        <w:rPr>
          <w:rFonts w:cs="Times New Roman"/>
          <w:sz w:val="24"/>
          <w:szCs w:val="24"/>
        </w:rPr>
        <w:t xml:space="preserve">tržní </w:t>
      </w:r>
      <w:proofErr w:type="gramStart"/>
      <w:r w:rsidRPr="00D0139E">
        <w:rPr>
          <w:rFonts w:cs="Times New Roman"/>
          <w:sz w:val="24"/>
          <w:szCs w:val="24"/>
        </w:rPr>
        <w:t>hodnotu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0139E">
        <w:rPr>
          <w:rFonts w:cs="Times New Roman"/>
          <w:sz w:val="24"/>
          <w:szCs w:val="24"/>
        </w:rPr>
        <w:t>akcií určitého podniku (v tabulce jsou uvedeny kurzy cenných papírů na BCPP).</w:t>
      </w:r>
    </w:p>
    <w:p w:rsidR="00E77A50" w:rsidRPr="00D0139E" w:rsidRDefault="00E77A50" w:rsidP="00E77A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Mkatabulky"/>
        <w:tblW w:w="10598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1388"/>
        <w:gridCol w:w="854"/>
        <w:gridCol w:w="1268"/>
        <w:gridCol w:w="1063"/>
        <w:gridCol w:w="1205"/>
        <w:gridCol w:w="1276"/>
        <w:gridCol w:w="992"/>
        <w:gridCol w:w="1276"/>
        <w:gridCol w:w="1276"/>
      </w:tblGrid>
      <w:tr w:rsidR="00E77A50" w:rsidRPr="00D0139E" w:rsidTr="00E77A50">
        <w:trPr>
          <w:trHeight w:val="2067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Druh akcií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Počet akcií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Nominální hodnota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Kurz jedné akcie v Kč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Výše dividendy v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Výše dividendy v Kč za jednu akcii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Celkový hrubý výnos z akcií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Čistý výnos z akcií po zdanění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Tržní hodnota akcií, které jsou majetkem akcionáře</w:t>
            </w:r>
          </w:p>
        </w:tc>
      </w:tr>
      <w:tr w:rsidR="00E77A50" w:rsidRPr="00D0139E" w:rsidTr="00E77A50">
        <w:trPr>
          <w:trHeight w:val="668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Avast</w:t>
            </w:r>
            <w:proofErr w:type="spellEnd"/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 Kč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0139E">
              <w:rPr>
                <w:rFonts w:cs="Times New Roman"/>
                <w:sz w:val="24"/>
                <w:szCs w:val="24"/>
              </w:rPr>
              <w:t>31,-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5 %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Česká spořitelna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0139E">
              <w:rPr>
                <w:rFonts w:cs="Times New Roman"/>
                <w:sz w:val="24"/>
                <w:szCs w:val="24"/>
              </w:rPr>
              <w:t> 800,-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512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ČEZ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1 600,-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0139E">
              <w:rPr>
                <w:rFonts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549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Kofola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450</w:t>
            </w:r>
            <w:r w:rsidRPr="00D0139E">
              <w:rPr>
                <w:rFonts w:cs="Times New Roman"/>
                <w:sz w:val="24"/>
                <w:szCs w:val="24"/>
              </w:rPr>
              <w:t>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8 %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698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Komerční banka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0139E">
              <w:rPr>
                <w:rFonts w:cs="Times New Roman"/>
                <w:sz w:val="24"/>
                <w:szCs w:val="24"/>
              </w:rPr>
              <w:t xml:space="preserve"> 140,-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12 %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OMV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1 270,-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Plzeňské pivovary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500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456,-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7 %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Philip Morris ČR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0139E">
              <w:rPr>
                <w:rFonts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14 500</w:t>
            </w:r>
            <w:r w:rsidRPr="00D0139E">
              <w:rPr>
                <w:rFonts w:cs="Times New Roman"/>
                <w:sz w:val="24"/>
                <w:szCs w:val="24"/>
              </w:rPr>
              <w:t>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0139E">
              <w:rPr>
                <w:rFonts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Raiffeisen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Bank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665,-</w:t>
            </w:r>
          </w:p>
        </w:tc>
        <w:tc>
          <w:tcPr>
            <w:tcW w:w="1205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D0139E">
              <w:rPr>
                <w:rFonts w:cs="Times New Roman"/>
                <w:sz w:val="24"/>
                <w:szCs w:val="24"/>
              </w:rPr>
              <w:t>,3 %</w:t>
            </w: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A50" w:rsidRPr="00D0139E" w:rsidTr="00E77A50">
        <w:trPr>
          <w:trHeight w:val="737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SKANSKA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36</w:t>
            </w:r>
            <w:r w:rsidRPr="00D0139E">
              <w:rPr>
                <w:rFonts w:cs="Times New Roman"/>
                <w:sz w:val="24"/>
                <w:szCs w:val="24"/>
              </w:rPr>
              <w:t>,-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9 %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A50" w:rsidRPr="00D0139E" w:rsidRDefault="00E77A50" w:rsidP="00C05E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8E" w:rsidRDefault="00F4468E" w:rsidP="00AE5686">
      <w:pPr>
        <w:spacing w:after="0" w:line="240" w:lineRule="auto"/>
      </w:pPr>
      <w:r>
        <w:separator/>
      </w:r>
    </w:p>
  </w:endnote>
  <w:endnote w:type="continuationSeparator" w:id="0">
    <w:p w:rsidR="00F4468E" w:rsidRDefault="00F4468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CE-Bold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8E" w:rsidRDefault="00F4468E" w:rsidP="00AE5686">
      <w:pPr>
        <w:spacing w:after="0" w:line="240" w:lineRule="auto"/>
      </w:pPr>
      <w:r>
        <w:separator/>
      </w:r>
    </w:p>
  </w:footnote>
  <w:footnote w:type="continuationSeparator" w:id="0">
    <w:p w:rsidR="00F4468E" w:rsidRDefault="00F4468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B59"/>
    <w:multiLevelType w:val="hybridMultilevel"/>
    <w:tmpl w:val="A0DA41E4"/>
    <w:lvl w:ilvl="0" w:tplc="50B82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79F"/>
    <w:multiLevelType w:val="hybridMultilevel"/>
    <w:tmpl w:val="590EF06C"/>
    <w:lvl w:ilvl="0" w:tplc="1AE899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623"/>
    <w:multiLevelType w:val="hybridMultilevel"/>
    <w:tmpl w:val="BA3C3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9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E640A"/>
    <w:multiLevelType w:val="hybridMultilevel"/>
    <w:tmpl w:val="267EF198"/>
    <w:lvl w:ilvl="0" w:tplc="4D6805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13F8"/>
    <w:multiLevelType w:val="hybridMultilevel"/>
    <w:tmpl w:val="6B6808C8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77A50"/>
    <w:rsid w:val="00E83D7A"/>
    <w:rsid w:val="00ED6BFE"/>
    <w:rsid w:val="00F14316"/>
    <w:rsid w:val="00F360B1"/>
    <w:rsid w:val="00F4468E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5DF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A5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Normln1">
    <w:name w:val="Normální1"/>
    <w:basedOn w:val="Normln"/>
    <w:rsid w:val="00E7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7A50"/>
    <w:pPr>
      <w:ind w:left="720"/>
      <w:contextualSpacing/>
    </w:pPr>
  </w:style>
  <w:style w:type="table" w:styleId="Mkatabulky">
    <w:name w:val="Table Grid"/>
    <w:basedOn w:val="Normlntabulka"/>
    <w:uiPriority w:val="59"/>
    <w:rsid w:val="00E7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2020-03-20T11:45:00Z</dcterms:modified>
</cp:coreProperties>
</file>