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72" w:rsidRDefault="00227172" w:rsidP="00227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E4D4B" w:rsidRPr="008E4D4B" w:rsidRDefault="008E4D4B" w:rsidP="00227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Zpracuj Kalkul</w:t>
      </w:r>
      <w:r w:rsidR="00D30E8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ační list na Srnčí kýta na smetaně</w:t>
      </w: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(2 porce)</w:t>
      </w:r>
      <w:r w:rsidR="0022717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-  </w:t>
      </w:r>
      <w:r w:rsidR="00227172" w:rsidRPr="00212F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řešení</w:t>
      </w: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5"/>
        <w:gridCol w:w="1134"/>
        <w:gridCol w:w="1276"/>
        <w:gridCol w:w="1418"/>
        <w:gridCol w:w="1383"/>
      </w:tblGrid>
      <w:tr w:rsidR="008E4D4B" w:rsidRPr="008E4D4B" w:rsidTr="00D30E80">
        <w:tc>
          <w:tcPr>
            <w:tcW w:w="9464" w:type="dxa"/>
            <w:gridSpan w:val="7"/>
            <w:shd w:val="clear" w:color="auto" w:fill="auto"/>
            <w:vAlign w:val="bottom"/>
          </w:tcPr>
          <w:p w:rsidR="008E4D4B" w:rsidRPr="00D30E80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</w:p>
          <w:p w:rsidR="008E4D4B" w:rsidRDefault="008E4D4B" w:rsidP="000F2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D30E80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 xml:space="preserve">KALKULAČNÍ LIST č. </w:t>
            </w:r>
            <w:r w:rsidR="00221210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2</w:t>
            </w:r>
          </w:p>
          <w:p w:rsidR="00221210" w:rsidRPr="000F2CF0" w:rsidRDefault="00221210" w:rsidP="000F2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vertAlign w:val="superscript"/>
                <w:lang w:eastAsia="cs-CZ"/>
              </w:rPr>
            </w:pPr>
          </w:p>
        </w:tc>
      </w:tr>
      <w:tr w:rsidR="008E4D4B" w:rsidRPr="008E4D4B" w:rsidTr="00D30E80">
        <w:tc>
          <w:tcPr>
            <w:tcW w:w="9464" w:type="dxa"/>
            <w:gridSpan w:val="7"/>
            <w:shd w:val="clear" w:color="auto" w:fill="auto"/>
          </w:tcPr>
          <w:p w:rsidR="008E4D4B" w:rsidRPr="00D30E80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 xml:space="preserve">Receptura a kalkulace surovin na počet porcí: </w:t>
            </w:r>
            <w:r w:rsidR="00D30E80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30E80">
              <w:rPr>
                <w:rFonts w:ascii="Arial" w:eastAsia="Times New Roman" w:hAnsi="Arial" w:cs="Arial"/>
                <w:b/>
                <w:lang w:eastAsia="cs-CZ"/>
              </w:rPr>
              <w:t>2 porce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9464" w:type="dxa"/>
            <w:gridSpan w:val="7"/>
            <w:shd w:val="clear" w:color="auto" w:fill="auto"/>
          </w:tcPr>
          <w:p w:rsidR="00B16750" w:rsidRDefault="00B16750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8E4D4B" w:rsidRPr="00D30E80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C05C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VÝROBKU:</w:t>
            </w:r>
            <w:r w:rsidRPr="008E4D4B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 </w:t>
            </w:r>
            <w:r w:rsidR="00C05C40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 </w:t>
            </w:r>
            <w:r w:rsidR="00D30E80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Srnčí kýta na smetaně</w:t>
            </w:r>
          </w:p>
          <w:p w:rsidR="008E4D4B" w:rsidRPr="00C05C40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8E4D4B" w:rsidRPr="008E4D4B" w:rsidTr="00D30E80">
        <w:tc>
          <w:tcPr>
            <w:tcW w:w="9464" w:type="dxa"/>
            <w:gridSpan w:val="7"/>
            <w:shd w:val="clear" w:color="auto" w:fill="auto"/>
          </w:tcPr>
          <w:p w:rsidR="000F2CF0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>Charakteristika výrobku:</w:t>
            </w:r>
            <w:r w:rsidR="000F2CF0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</w:p>
          <w:p w:rsidR="00B16750" w:rsidRDefault="00B16750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0F2CF0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0F2CF0">
              <w:rPr>
                <w:rFonts w:ascii="Arial" w:eastAsia="Times New Roman" w:hAnsi="Arial" w:cs="Arial"/>
                <w:lang w:eastAsia="cs-CZ"/>
              </w:rPr>
              <w:t>Dva plátky</w:t>
            </w:r>
            <w:r>
              <w:rPr>
                <w:rFonts w:ascii="Arial" w:eastAsia="Times New Roman" w:hAnsi="Arial" w:cs="Arial"/>
                <w:lang w:eastAsia="cs-CZ"/>
              </w:rPr>
              <w:t xml:space="preserve"> do měkka udušeného masa přelité smetanovou omáčkou. Maso je ukrojeno přes vlákno, na řezu je viditelné protýkání slanin ou, je celistvé. Omáčka nažloutlé až mírně nahnědlé barvy je jemné pikantní vůně a chuti po použitých surovinách a přísadách, hustší.</w:t>
            </w:r>
          </w:p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 xml:space="preserve">  </w:t>
            </w:r>
          </w:p>
        </w:tc>
      </w:tr>
      <w:tr w:rsidR="008E4D4B" w:rsidRPr="008E4D4B" w:rsidTr="00D30E80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Druh potraviny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Jednotka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Hrubá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ml, ks)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Odpad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Čistá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Cena /včetně DPH/</w:t>
            </w:r>
          </w:p>
        </w:tc>
      </w:tr>
      <w:tr w:rsidR="008E4D4B" w:rsidRPr="008E4D4B" w:rsidTr="00D30E80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za jednotku kg/Kč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Srnčí kýta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Slanina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5,40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Sůl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0,064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Tuk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1,02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Cibule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0,27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Kořenová zelenina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Voda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0,8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Citron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0,72</w:t>
            </w: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Divoké koření</w:t>
            </w:r>
          </w:p>
        </w:tc>
        <w:tc>
          <w:tcPr>
            <w:tcW w:w="851" w:type="dxa"/>
            <w:shd w:val="clear" w:color="auto" w:fill="auto"/>
          </w:tcPr>
          <w:p w:rsidR="00D30E80" w:rsidRDefault="00D30E8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D30E80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850</w:t>
            </w:r>
          </w:p>
        </w:tc>
        <w:tc>
          <w:tcPr>
            <w:tcW w:w="1383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0,51</w:t>
            </w: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Mouka hladká</w:t>
            </w:r>
          </w:p>
        </w:tc>
        <w:tc>
          <w:tcPr>
            <w:tcW w:w="851" w:type="dxa"/>
            <w:shd w:val="clear" w:color="auto" w:fill="auto"/>
          </w:tcPr>
          <w:p w:rsidR="00D30E80" w:rsidRDefault="00D30E8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Hořčice</w:t>
            </w:r>
          </w:p>
        </w:tc>
        <w:tc>
          <w:tcPr>
            <w:tcW w:w="851" w:type="dxa"/>
            <w:shd w:val="clear" w:color="auto" w:fill="auto"/>
          </w:tcPr>
          <w:p w:rsidR="00D30E80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0E80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0,12</w:t>
            </w: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Cukr</w:t>
            </w:r>
          </w:p>
        </w:tc>
        <w:tc>
          <w:tcPr>
            <w:tcW w:w="851" w:type="dxa"/>
            <w:shd w:val="clear" w:color="auto" w:fill="auto"/>
          </w:tcPr>
          <w:p w:rsidR="00D30E80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0E80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D30E8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0,08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Víno bílé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8E4D4B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0F2CF0" w:rsidRPr="008E4D4B" w:rsidTr="00D30E80">
        <w:tc>
          <w:tcPr>
            <w:tcW w:w="2127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Smetana</w:t>
            </w:r>
          </w:p>
        </w:tc>
        <w:tc>
          <w:tcPr>
            <w:tcW w:w="851" w:type="dxa"/>
            <w:shd w:val="clear" w:color="auto" w:fill="auto"/>
          </w:tcPr>
          <w:p w:rsidR="000F2CF0" w:rsidRPr="008E4D4B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0F2CF0" w:rsidRPr="008E4D4B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383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4,80</w:t>
            </w:r>
          </w:p>
        </w:tc>
      </w:tr>
      <w:tr w:rsidR="000F2CF0" w:rsidRPr="008E4D4B" w:rsidTr="00D30E80">
        <w:tc>
          <w:tcPr>
            <w:tcW w:w="2127" w:type="dxa"/>
            <w:shd w:val="clear" w:color="auto" w:fill="auto"/>
          </w:tcPr>
          <w:p w:rsidR="000F2CF0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Ocet</w:t>
            </w:r>
          </w:p>
        </w:tc>
        <w:tc>
          <w:tcPr>
            <w:tcW w:w="851" w:type="dxa"/>
            <w:shd w:val="clear" w:color="auto" w:fill="auto"/>
          </w:tcPr>
          <w:p w:rsidR="000F2CF0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F2CF0" w:rsidRDefault="00A57BC6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0,15</w:t>
            </w:r>
          </w:p>
        </w:tc>
      </w:tr>
      <w:tr w:rsidR="000F2CF0" w:rsidRPr="008E4D4B" w:rsidTr="00D30E80">
        <w:tc>
          <w:tcPr>
            <w:tcW w:w="2127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0F2CF0" w:rsidRPr="008E4D4B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2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750,6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741,6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1648</w:t>
            </w:r>
          </w:p>
        </w:tc>
        <w:tc>
          <w:tcPr>
            <w:tcW w:w="1383" w:type="dxa"/>
            <w:shd w:val="clear" w:color="auto" w:fill="auto"/>
          </w:tcPr>
          <w:p w:rsidR="008E4D4B" w:rsidRPr="00CA6A79" w:rsidRDefault="00D30E80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CA6A79">
              <w:rPr>
                <w:rFonts w:ascii="Arial" w:eastAsia="Times New Roman" w:hAnsi="Arial" w:cs="Arial"/>
                <w:b/>
                <w:lang w:eastAsia="cs-CZ"/>
              </w:rPr>
              <w:t>100,53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1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375,3</w:t>
            </w:r>
          </w:p>
        </w:tc>
        <w:tc>
          <w:tcPr>
            <w:tcW w:w="1134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370,8</w:t>
            </w:r>
          </w:p>
        </w:tc>
        <w:tc>
          <w:tcPr>
            <w:tcW w:w="1418" w:type="dxa"/>
            <w:shd w:val="clear" w:color="auto" w:fill="auto"/>
          </w:tcPr>
          <w:p w:rsidR="008E4D4B" w:rsidRPr="008E4D4B" w:rsidRDefault="00CA6A79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824</w:t>
            </w:r>
          </w:p>
        </w:tc>
        <w:tc>
          <w:tcPr>
            <w:tcW w:w="1383" w:type="dxa"/>
            <w:shd w:val="clear" w:color="auto" w:fill="auto"/>
          </w:tcPr>
          <w:p w:rsidR="008E4D4B" w:rsidRPr="00CA6A79" w:rsidRDefault="00BB2BD7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50,27</w:t>
            </w:r>
          </w:p>
        </w:tc>
      </w:tr>
    </w:tbl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05C40" w:rsidRDefault="008E4D4B" w:rsidP="00C05C40">
      <w:pPr>
        <w:spacing w:after="0" w:line="240" w:lineRule="auto"/>
        <w:ind w:left="-284"/>
        <w:rPr>
          <w:rFonts w:ascii="Arial" w:eastAsia="Times New Roman" w:hAnsi="Arial" w:cs="Arial"/>
          <w:b/>
          <w:u w:val="single"/>
          <w:lang w:eastAsia="cs-CZ"/>
        </w:rPr>
      </w:pPr>
      <w:r w:rsidRPr="008E4D4B">
        <w:rPr>
          <w:rFonts w:ascii="Arial" w:eastAsia="Times New Roman" w:hAnsi="Arial" w:cs="Arial"/>
          <w:b/>
          <w:u w:val="single"/>
          <w:lang w:eastAsia="cs-CZ"/>
        </w:rPr>
        <w:t>Technologický postup:</w:t>
      </w:r>
    </w:p>
    <w:p w:rsidR="00C05C40" w:rsidRDefault="00C05C40" w:rsidP="00C05C40">
      <w:pPr>
        <w:spacing w:after="0" w:line="240" w:lineRule="auto"/>
        <w:ind w:left="-284"/>
        <w:rPr>
          <w:rFonts w:ascii="Arial" w:eastAsia="Times New Roman" w:hAnsi="Arial" w:cs="Arial"/>
          <w:lang w:eastAsia="cs-CZ"/>
        </w:rPr>
      </w:pPr>
    </w:p>
    <w:p w:rsidR="00C05C40" w:rsidRDefault="00C05C40" w:rsidP="00B16750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Vykostěné maso odblaníme</w:t>
      </w:r>
      <w:r w:rsidR="00B16750">
        <w:rPr>
          <w:rFonts w:ascii="Arial" w:eastAsia="Times New Roman" w:hAnsi="Arial" w:cs="Arial"/>
          <w:lang w:eastAsia="cs-CZ"/>
        </w:rPr>
        <w:t>, opláchneme, protkneme proužky slaniny, mírně osolíme, stáhneme motouzem, opečeme krátce asi na 1/3 dávky tuku a vyjmeme.</w:t>
      </w:r>
    </w:p>
    <w:p w:rsidR="00B16750" w:rsidRDefault="00B16750" w:rsidP="00B16750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tuku od opékání přidáme další 1/3 dávky, na ní osmahneme dorůžova na plátky nakrájenou cibuli a kořenovou zeleninu, zastříkneme trochou vody a octa, přidáme pečlivě omytý na plátky nakrájený citron, koření, vložíme opečené maso a dusíme téměř do měkka. (V průběhu dušení maso obracíme, přeléváme šťávou a podle potřeby doléváme vodou).</w:t>
      </w:r>
    </w:p>
    <w:p w:rsidR="00B16750" w:rsidRDefault="00B16750" w:rsidP="00B16750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cs-CZ"/>
        </w:rPr>
      </w:pPr>
    </w:p>
    <w:p w:rsidR="00B16750" w:rsidRPr="00C05C40" w:rsidRDefault="00B16750" w:rsidP="00B16750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Měkké maso vyjmeme, šťávu zahustíme světlou zásmažkou připravenou ze zbylé dávky tuku a prosáté mouky, pečlivě rozšleháme, rozředíme částečně vodou a za občasného promíchání</w:t>
      </w:r>
      <w:r w:rsidR="00A57BC6">
        <w:rPr>
          <w:rFonts w:ascii="Arial" w:eastAsia="Times New Roman" w:hAnsi="Arial" w:cs="Arial"/>
          <w:lang w:eastAsia="cs-CZ"/>
        </w:rPr>
        <w:t xml:space="preserve"> vaříme nejméně 20 minut. Asi v polovině varu přidáme hořčici a cukr a omáčku podle potřeby dosolíme a zjemníme bílým vínem a smetanou a po převaření ji procedíme.</w:t>
      </w:r>
    </w:p>
    <w:p w:rsidR="00C05C40" w:rsidRDefault="00C05C40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C05C40" w:rsidRDefault="00C05C40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C05C40" w:rsidRPr="008E4D4B" w:rsidRDefault="00C05C40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bookmarkStart w:id="0" w:name="_GoBack"/>
      <w:bookmarkEnd w:id="0"/>
    </w:p>
    <w:sectPr w:rsidR="00C05C40" w:rsidRPr="008E4D4B" w:rsidSect="00F53F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82" w:rsidRDefault="00AD2582" w:rsidP="00AE5686">
      <w:pPr>
        <w:spacing w:after="0" w:line="240" w:lineRule="auto"/>
      </w:pPr>
      <w:r>
        <w:separator/>
      </w:r>
    </w:p>
  </w:endnote>
  <w:endnote w:type="continuationSeparator" w:id="0">
    <w:p w:rsidR="00AD2582" w:rsidRDefault="00AD258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50375D" w:rsidRDefault="0050375D" w:rsidP="0050375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8190189" wp14:editId="325CB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50375D" w:rsidRDefault="0050375D" w:rsidP="0050375D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0375D" w:rsidRDefault="0050375D" w:rsidP="0050375D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0375D" w:rsidRPr="007509AF" w:rsidRDefault="0050375D" w:rsidP="0050375D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58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proofErr w:type="gramStart"/>
                <w:r w:rsidRPr="007509AF">
                  <w:t>1</w:t>
                </w:r>
                <w:r>
                  <w:t>0</w:t>
                </w:r>
                <w:r w:rsidRPr="007509AF">
                  <w:t>2 00  Praha</w:t>
                </w:r>
                <w:proofErr w:type="gramEnd"/>
                <w:r w:rsidRPr="007509AF">
                  <w:t xml:space="preserve">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82" w:rsidRDefault="00AD2582" w:rsidP="00AE5686">
      <w:pPr>
        <w:spacing w:after="0" w:line="240" w:lineRule="auto"/>
      </w:pPr>
      <w:r>
        <w:separator/>
      </w:r>
    </w:p>
  </w:footnote>
  <w:footnote w:type="continuationSeparator" w:id="0">
    <w:p w:rsidR="00AD2582" w:rsidRDefault="00AD258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0F2CF0"/>
    <w:rsid w:val="00103D59"/>
    <w:rsid w:val="00142A48"/>
    <w:rsid w:val="001569AB"/>
    <w:rsid w:val="0018298A"/>
    <w:rsid w:val="001911BD"/>
    <w:rsid w:val="00191C0A"/>
    <w:rsid w:val="001A7123"/>
    <w:rsid w:val="001A7581"/>
    <w:rsid w:val="001D4A23"/>
    <w:rsid w:val="00212F9F"/>
    <w:rsid w:val="00221210"/>
    <w:rsid w:val="00227172"/>
    <w:rsid w:val="002376F2"/>
    <w:rsid w:val="002538DA"/>
    <w:rsid w:val="00271650"/>
    <w:rsid w:val="002D4543"/>
    <w:rsid w:val="00300272"/>
    <w:rsid w:val="003168D0"/>
    <w:rsid w:val="00324923"/>
    <w:rsid w:val="00336FD6"/>
    <w:rsid w:val="00340303"/>
    <w:rsid w:val="0037004C"/>
    <w:rsid w:val="003A7278"/>
    <w:rsid w:val="003B512C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0375D"/>
    <w:rsid w:val="0065096A"/>
    <w:rsid w:val="0066068B"/>
    <w:rsid w:val="0066480A"/>
    <w:rsid w:val="006F63A1"/>
    <w:rsid w:val="007409FD"/>
    <w:rsid w:val="00764251"/>
    <w:rsid w:val="007673D4"/>
    <w:rsid w:val="007A2A19"/>
    <w:rsid w:val="007A5108"/>
    <w:rsid w:val="00823EE4"/>
    <w:rsid w:val="008335AA"/>
    <w:rsid w:val="00851090"/>
    <w:rsid w:val="008C1BE8"/>
    <w:rsid w:val="008E4D4B"/>
    <w:rsid w:val="00924B9D"/>
    <w:rsid w:val="009310A3"/>
    <w:rsid w:val="00931AF4"/>
    <w:rsid w:val="00943DEB"/>
    <w:rsid w:val="00992CF8"/>
    <w:rsid w:val="009B6A72"/>
    <w:rsid w:val="009F134E"/>
    <w:rsid w:val="009F6A78"/>
    <w:rsid w:val="00A22E58"/>
    <w:rsid w:val="00A31DE4"/>
    <w:rsid w:val="00A57BC6"/>
    <w:rsid w:val="00A6778A"/>
    <w:rsid w:val="00AD2582"/>
    <w:rsid w:val="00AE3BCC"/>
    <w:rsid w:val="00AE5686"/>
    <w:rsid w:val="00B16750"/>
    <w:rsid w:val="00B365F5"/>
    <w:rsid w:val="00BB2BD7"/>
    <w:rsid w:val="00BC7CDB"/>
    <w:rsid w:val="00BF1247"/>
    <w:rsid w:val="00C0066A"/>
    <w:rsid w:val="00C05C40"/>
    <w:rsid w:val="00C17DA5"/>
    <w:rsid w:val="00C34B16"/>
    <w:rsid w:val="00C564C0"/>
    <w:rsid w:val="00C86D2A"/>
    <w:rsid w:val="00CA6A79"/>
    <w:rsid w:val="00CC69FD"/>
    <w:rsid w:val="00D01BFE"/>
    <w:rsid w:val="00D04661"/>
    <w:rsid w:val="00D10092"/>
    <w:rsid w:val="00D24CE0"/>
    <w:rsid w:val="00D30E80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2BE2F1"/>
  <w15:docId w15:val="{71B1B0CD-F664-40D1-9C20-FDB6FC5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EEA8-9260-4F82-B000-C0C7FA8B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2019-04-24T21:44:00Z</dcterms:created>
  <dcterms:modified xsi:type="dcterms:W3CDTF">2020-04-04T08:33:00Z</dcterms:modified>
</cp:coreProperties>
</file>