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  <w:bookmarkStart w:id="0" w:name="_GoBack"/>
      <w:bookmarkEnd w:id="0"/>
    </w:p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cs-CZ"/>
        </w:rPr>
      </w:pPr>
      <w:r w:rsidRPr="006612CE">
        <w:rPr>
          <w:rFonts w:eastAsia="Times New Roman" w:cstheme="minorHAnsi"/>
          <w:b/>
          <w:bCs/>
          <w:sz w:val="28"/>
          <w:szCs w:val="28"/>
          <w:lang w:eastAsia="cs-CZ"/>
        </w:rPr>
        <w:t xml:space="preserve">Metodická reflexe z ověřování komplexní úlohy (KÚ) </w:t>
      </w:r>
    </w:p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5"/>
        <w:gridCol w:w="5670"/>
      </w:tblGrid>
      <w:tr w:rsidR="00297B4E" w:rsidRPr="006612CE" w:rsidTr="00C725FB"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kód úlohy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CD56C9" w:rsidRDefault="00785D87" w:rsidP="00785D87">
            <w:pPr>
              <w:spacing w:after="0" w:line="240" w:lineRule="auto"/>
              <w:rPr>
                <w:rFonts w:eastAsia="Times New Roman" w:cstheme="minorHAnsi"/>
                <w:color w:val="2E74B5" w:themeColor="accent1" w:themeShade="BF"/>
                <w:sz w:val="24"/>
                <w:szCs w:val="24"/>
                <w:lang w:eastAsia="cs-CZ"/>
              </w:rPr>
            </w:pPr>
            <w:r w:rsidRPr="00CD56C9">
              <w:rPr>
                <w:rFonts w:eastAsia="Times New Roman" w:cstheme="minorHAnsi"/>
                <w:color w:val="2E74B5" w:themeColor="accent1" w:themeShade="BF"/>
                <w:sz w:val="24"/>
                <w:szCs w:val="24"/>
                <w:lang w:eastAsia="cs-CZ"/>
              </w:rPr>
              <w:t xml:space="preserve">Kód – </w:t>
            </w:r>
            <w:r w:rsidRPr="00CD56C9">
              <w:rPr>
                <w:rFonts w:eastAsia="Times New Roman" w:cstheme="minorHAnsi"/>
                <w:sz w:val="24"/>
                <w:szCs w:val="24"/>
                <w:lang w:eastAsia="cs-CZ"/>
              </w:rPr>
              <w:t>Procenta v praxi - cenné papíry, akcie</w:t>
            </w:r>
          </w:p>
        </w:tc>
      </w:tr>
    </w:tbl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5"/>
        <w:gridCol w:w="5670"/>
      </w:tblGrid>
      <w:tr w:rsidR="00297B4E" w:rsidRPr="006612CE" w:rsidTr="00C725FB"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297B4E" w:rsidP="006612CE">
            <w:pPr>
              <w:pStyle w:val="Nadpis1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2CE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cs-CZ"/>
              </w:rPr>
              <w:t>autor reflexe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785D87" w:rsidP="006612CE">
            <w:pPr>
              <w:pStyle w:val="Nadpis1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Mgr. Olga Wintrová</w:t>
            </w:r>
          </w:p>
        </w:tc>
      </w:tr>
    </w:tbl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bookmarkStart w:id="1" w:name="_Hlk489860047"/>
      <w:r w:rsidRPr="006612CE">
        <w:rPr>
          <w:rFonts w:eastAsia="Times New Roman" w:cstheme="minorHAnsi"/>
          <w:b/>
          <w:bCs/>
          <w:sz w:val="24"/>
          <w:szCs w:val="24"/>
          <w:lang w:eastAsia="cs-CZ"/>
        </w:rPr>
        <w:t>Místo použití KÚ</w:t>
      </w:r>
    </w:p>
    <w:bookmarkEnd w:id="1"/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4"/>
        <w:gridCol w:w="4961"/>
      </w:tblGrid>
      <w:tr w:rsidR="00297B4E" w:rsidRPr="006612CE" w:rsidTr="00C725FB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škola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785D87" w:rsidP="00C725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Integrovaná střední škola živnostenská Plzeň</w:t>
            </w:r>
          </w:p>
        </w:tc>
      </w:tr>
      <w:tr w:rsidR="00297B4E" w:rsidRPr="006612CE" w:rsidTr="00C725FB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obor vzdělání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D87" w:rsidRDefault="00785D87" w:rsidP="00297B4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Ekonomika a podnikání, </w:t>
            </w:r>
          </w:p>
          <w:p w:rsidR="00297B4E" w:rsidRPr="006612CE" w:rsidRDefault="00785D87" w:rsidP="00297B4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Bankovnictví a pojišťovnictví</w:t>
            </w:r>
          </w:p>
        </w:tc>
      </w:tr>
      <w:tr w:rsidR="00297B4E" w:rsidRPr="006612CE" w:rsidTr="00C725FB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třída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3D34F1" w:rsidP="00C725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4E, maturitní, 4. ročník</w:t>
            </w:r>
          </w:p>
        </w:tc>
      </w:tr>
      <w:tr w:rsidR="00297B4E" w:rsidRPr="006612CE" w:rsidTr="00C725FB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místo výkonu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3D34F1" w:rsidP="00EC059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Budova školy – učebny teoretického vyučování</w:t>
            </w:r>
          </w:p>
        </w:tc>
      </w:tr>
    </w:tbl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  <w:r w:rsidRPr="006612CE">
        <w:rPr>
          <w:rFonts w:eastAsia="Times New Roman" w:cstheme="minorHAnsi"/>
          <w:b/>
          <w:bCs/>
          <w:sz w:val="24"/>
          <w:szCs w:val="24"/>
          <w:lang w:eastAsia="cs-CZ"/>
        </w:rPr>
        <w:t>Metodické poznatky</w:t>
      </w:r>
    </w:p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9"/>
        <w:gridCol w:w="5386"/>
      </w:tblGrid>
      <w:tr w:rsidR="00297B4E" w:rsidRPr="006612CE" w:rsidTr="00C725FB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cíl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CD56C9" w:rsidRDefault="003D34F1" w:rsidP="00806B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CD56C9">
              <w:rPr>
                <w:rFonts w:eastAsia="Times New Roman" w:cstheme="minorHAnsi"/>
                <w:sz w:val="24"/>
                <w:szCs w:val="24"/>
                <w:lang w:eastAsia="cs-CZ"/>
              </w:rPr>
              <w:t>Cílem úlohy je </w:t>
            </w:r>
            <w:r w:rsidR="00CD56C9" w:rsidRPr="00CD56C9">
              <w:rPr>
                <w:rFonts w:eastAsia="Times New Roman" w:cstheme="minorHAnsi"/>
                <w:sz w:val="24"/>
                <w:szCs w:val="24"/>
                <w:lang w:eastAsia="cs-CZ"/>
              </w:rPr>
              <w:t>aplikovat matematické dovednosti při výpočtech v odborných předmětech (Ekonomika, Finanční a pojistné výpočty), používat informační a komunikační technologie</w:t>
            </w:r>
            <w:r w:rsidRPr="00CD56C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, </w:t>
            </w:r>
            <w:r w:rsidR="00CD56C9" w:rsidRPr="00CD56C9">
              <w:rPr>
                <w:rFonts w:eastAsia="Times New Roman" w:cstheme="minorHAnsi"/>
                <w:sz w:val="24"/>
                <w:szCs w:val="24"/>
                <w:lang w:eastAsia="cs-CZ"/>
              </w:rPr>
              <w:t>získané údaje zpracovat, vhodně interpretovat a obhájit svoji volbu. V</w:t>
            </w:r>
            <w:r w:rsidRPr="00CD56C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 rámci řešení úlohy </w:t>
            </w:r>
            <w:r w:rsidR="00806B40">
              <w:rPr>
                <w:rFonts w:eastAsia="Times New Roman" w:cstheme="minorHAnsi"/>
                <w:sz w:val="24"/>
                <w:szCs w:val="24"/>
                <w:lang w:eastAsia="cs-CZ"/>
              </w:rPr>
              <w:t>vzájemně</w:t>
            </w:r>
            <w:r w:rsidRPr="00CD56C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spolupráci a vyzkouš</w:t>
            </w:r>
            <w:r w:rsidR="00806B40">
              <w:rPr>
                <w:rFonts w:eastAsia="Times New Roman" w:cstheme="minorHAnsi"/>
                <w:sz w:val="24"/>
                <w:szCs w:val="24"/>
                <w:lang w:eastAsia="cs-CZ"/>
              </w:rPr>
              <w:t>et</w:t>
            </w:r>
            <w:r w:rsidRPr="00CD56C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si</w:t>
            </w:r>
            <w:r w:rsidR="00CD56C9" w:rsidRPr="00CD56C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prezentaci vlastních výsledků</w:t>
            </w:r>
            <w:r w:rsidRPr="00CD56C9">
              <w:rPr>
                <w:rFonts w:eastAsia="Times New Roman" w:cstheme="minorHAnsi"/>
                <w:sz w:val="24"/>
                <w:szCs w:val="24"/>
                <w:lang w:eastAsia="cs-CZ"/>
              </w:rPr>
              <w:t>.</w:t>
            </w:r>
          </w:p>
        </w:tc>
      </w:tr>
      <w:tr w:rsidR="00297B4E" w:rsidRPr="006612CE" w:rsidTr="00C725FB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7B4E" w:rsidRPr="006612CE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motivace žáků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492310" w:rsidP="006C13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Žáci úlohu řešili s velkým zaujetím, bavila je </w:t>
            </w:r>
            <w:r w:rsidR="009B2F03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především ta část úkolu, ve které ve skupinách investovali fiktivní milion na akciových trzích. Motivace proběhla hlavně slovně, dílčí kroky byly hodnoceny známkou, </w:t>
            </w:r>
            <w:r w:rsidR="006C1341">
              <w:rPr>
                <w:rFonts w:eastAsia="Times New Roman" w:cstheme="minorHAnsi"/>
                <w:sz w:val="24"/>
                <w:szCs w:val="24"/>
                <w:lang w:eastAsia="cs-CZ"/>
              </w:rPr>
              <w:t>žáci pozitivně hodnotili sepětí s praktickým využitím úlohy.</w:t>
            </w:r>
            <w:r w:rsidR="009B2F03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297B4E" w:rsidRPr="006612CE" w:rsidTr="00C725FB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časová náročnost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F49" w:rsidRDefault="00B04F49" w:rsidP="00B04F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Úloha byla navržena na 4 hodiny ve všeobecném vyučování a 12 hodin v odborném vyučování. Tato časová dotace je adekvátní realizaci. Rozpis realizace:</w:t>
            </w:r>
          </w:p>
          <w:p w:rsidR="00B04F49" w:rsidRDefault="00B04F49" w:rsidP="00B04F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Zadání úlohy, specifikace požadavků: 2 hod.</w:t>
            </w:r>
          </w:p>
          <w:p w:rsidR="00B04F49" w:rsidRDefault="00B04F49" w:rsidP="00B04F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Výpočty, řešení pracovních listů: 6 hod. 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br/>
              <w:t>Vytvoření prezentace na téma cenné papíry: 3 hod.</w:t>
            </w:r>
          </w:p>
          <w:p w:rsidR="00B04F49" w:rsidRDefault="00B04F49" w:rsidP="00B04F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Akcie - tvorba tabulky v MS Excel: 2 hod.</w:t>
            </w:r>
          </w:p>
          <w:p w:rsidR="00B04F49" w:rsidRDefault="00B04F49" w:rsidP="00B04F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lastRenderedPageBreak/>
              <w:t>Prezentace projektu: 2 hod.</w:t>
            </w:r>
          </w:p>
          <w:p w:rsidR="00297B4E" w:rsidRPr="006612CE" w:rsidRDefault="00B04F49" w:rsidP="00B04F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Zhodnocení projektu, rozbor chyb: 1 hod.</w:t>
            </w:r>
          </w:p>
        </w:tc>
      </w:tr>
      <w:tr w:rsidR="00297B4E" w:rsidRPr="006612CE" w:rsidTr="00C725FB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7B4E" w:rsidRPr="006612CE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průběh řešení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492310" w:rsidP="004923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Řešení úlohy probíhalo po domluvě mezi jednotlivými vyučujícími podle navrženého časového harmonogramu, nevyskytly se žádné problémy.</w:t>
            </w:r>
          </w:p>
        </w:tc>
      </w:tr>
      <w:tr w:rsidR="00297B4E" w:rsidRPr="006612CE" w:rsidTr="00C725FB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pomůcky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B04F49" w:rsidP="004923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Počítače s přístupem na internet, MS Word, Excel, PowerPoint, dataprojektor + plocha na promítání</w:t>
            </w:r>
            <w:r w:rsidR="00492310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pracovní listy, kalkulačka</w:t>
            </w:r>
            <w:r w:rsidR="00492310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, psací potřeby.</w:t>
            </w:r>
          </w:p>
        </w:tc>
      </w:tr>
      <w:tr w:rsidR="00297B4E" w:rsidRPr="006612CE" w:rsidTr="00C725FB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přínos úlohy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08455F" w:rsidP="000603C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Největším přínosem úlohy je aplikace teoretických poznatků v praxi, spolupráce studentů na společném úkolu, učení se v souvislostech. </w:t>
            </w:r>
          </w:p>
        </w:tc>
      </w:tr>
      <w:tr w:rsidR="00297B4E" w:rsidRPr="006612CE" w:rsidTr="00C725FB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hodnocení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6C1341" w:rsidP="006C134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Během řešení komplexní úlohy bylo používáno principů formativního hodnocení. Hlavní body úlohy (tvorba prezentace a tabulky investic na akciovém trhu) byly hodnoceny známkou. Celkové hodnocení úlohy bylo provedeno slovním vyjádřením a známkou podle </w:t>
            </w:r>
            <w:r w:rsidR="00C4295D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navržené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bodové stupnice.</w:t>
            </w:r>
          </w:p>
        </w:tc>
      </w:tr>
      <w:tr w:rsidR="00297B4E" w:rsidRPr="006612CE" w:rsidTr="00C725FB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doporučení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95D" w:rsidRDefault="00C4295D" w:rsidP="00C4295D">
            <w:pPr>
              <w:autoSpaceDE w:val="0"/>
              <w:autoSpaceDN w:val="0"/>
              <w:adjustRightInd w:val="0"/>
              <w:rPr>
                <w:rFonts w:eastAsia="TimesNewRomanPS-BoldMT" w:cs="TimesNewRomanPS-BoldMT"/>
                <w:bCs/>
                <w:sz w:val="24"/>
                <w:szCs w:val="24"/>
              </w:rPr>
            </w:pPr>
            <w:r>
              <w:rPr>
                <w:rFonts w:eastAsia="TimesNewRomanPS-BoldMT" w:cs="TimesNewRomanPS-BoldMT"/>
                <w:bCs/>
                <w:sz w:val="24"/>
                <w:szCs w:val="24"/>
              </w:rPr>
              <w:t>K</w:t>
            </w:r>
            <w:r w:rsidRPr="00C4295D">
              <w:rPr>
                <w:rFonts w:eastAsia="TimesNewRomanPS-BoldMT" w:cs="TimesNewRomanPS-BoldMT"/>
                <w:bCs/>
                <w:sz w:val="24"/>
                <w:szCs w:val="24"/>
              </w:rPr>
              <w:t xml:space="preserve"> úloze </w:t>
            </w:r>
            <w:r>
              <w:rPr>
                <w:rFonts w:eastAsia="TimesNewRomanPS-BoldMT" w:cs="TimesNewRomanPS-BoldMT"/>
                <w:bCs/>
                <w:sz w:val="24"/>
                <w:szCs w:val="24"/>
              </w:rPr>
              <w:t>j</w:t>
            </w:r>
            <w:r w:rsidRPr="00C4295D">
              <w:rPr>
                <w:rFonts w:eastAsia="TimesNewRomanPS-BoldMT" w:cs="TimesNewRomanPS-BoldMT"/>
                <w:bCs/>
                <w:sz w:val="24"/>
                <w:szCs w:val="24"/>
              </w:rPr>
              <w:t xml:space="preserve">e možné vrátit </w:t>
            </w:r>
            <w:r>
              <w:rPr>
                <w:rFonts w:eastAsia="TimesNewRomanPS-BoldMT" w:cs="TimesNewRomanPS-BoldMT"/>
                <w:bCs/>
                <w:sz w:val="24"/>
                <w:szCs w:val="24"/>
              </w:rPr>
              <w:t xml:space="preserve">se </w:t>
            </w:r>
            <w:r w:rsidRPr="00C4295D">
              <w:rPr>
                <w:rFonts w:eastAsia="TimesNewRomanPS-BoldMT" w:cs="TimesNewRomanPS-BoldMT"/>
                <w:bCs/>
                <w:sz w:val="24"/>
                <w:szCs w:val="24"/>
              </w:rPr>
              <w:t>po uplynutí delšího časového období (6 – 8 měsíců) a zhodnotit i úspěšnost investice jednotlivých skupin</w:t>
            </w:r>
            <w:r>
              <w:rPr>
                <w:rFonts w:eastAsia="TimesNewRomanPS-BoldMT" w:cs="TimesNewRomanPS-BoldMT"/>
                <w:bCs/>
                <w:sz w:val="24"/>
                <w:szCs w:val="24"/>
              </w:rPr>
              <w:t>.</w:t>
            </w:r>
            <w:r w:rsidRPr="00C4295D">
              <w:rPr>
                <w:rFonts w:eastAsia="TimesNewRomanPS-BoldMT" w:cs="TimesNewRomanPS-BoldMT"/>
                <w:bCs/>
                <w:sz w:val="24"/>
                <w:szCs w:val="24"/>
              </w:rPr>
              <w:t xml:space="preserve"> </w:t>
            </w:r>
          </w:p>
          <w:p w:rsidR="00C4295D" w:rsidRPr="00C4295D" w:rsidRDefault="006C1341" w:rsidP="00C4295D">
            <w:pPr>
              <w:autoSpaceDE w:val="0"/>
              <w:autoSpaceDN w:val="0"/>
              <w:adjustRightInd w:val="0"/>
              <w:rPr>
                <w:rFonts w:eastAsia="Times New Roman" w:cs="Calibri"/>
                <w:sz w:val="24"/>
                <w:szCs w:val="24"/>
              </w:rPr>
            </w:pPr>
            <w:r w:rsidRPr="00C4295D">
              <w:rPr>
                <w:rFonts w:eastAsia="TimesNewRomanPSMT" w:cs="TimesNewRomanPSMT"/>
                <w:color w:val="000000"/>
                <w:sz w:val="24"/>
                <w:szCs w:val="24"/>
              </w:rPr>
              <w:t>Výplata dividendy z akcií je v praxi určena rozhodnutím valné hromady společnosti, komplexní úloha je modifikována a počítáme dividendy z nominální hodnoty akcie</w:t>
            </w:r>
            <w:r w:rsidRPr="00C4295D">
              <w:rPr>
                <w:rFonts w:eastAsia="TimesNewRomanPSMT" w:cs="TimesNewRomanPSMT"/>
                <w:sz w:val="24"/>
                <w:szCs w:val="24"/>
              </w:rPr>
              <w:t>.</w:t>
            </w:r>
            <w:r w:rsidR="00C4295D" w:rsidRPr="00C4295D">
              <w:rPr>
                <w:rFonts w:eastAsia="TimesNewRomanPSMT" w:cs="TimesNewRomanPSMT"/>
                <w:sz w:val="24"/>
                <w:szCs w:val="24"/>
              </w:rPr>
              <w:t xml:space="preserve"> </w:t>
            </w:r>
            <w:r w:rsidR="00C4295D">
              <w:rPr>
                <w:rFonts w:eastAsia="TimesNewRomanPSMT" w:cs="TimesNewRomanPSMT"/>
                <w:sz w:val="24"/>
                <w:szCs w:val="24"/>
              </w:rPr>
              <w:t>U některého druhu akcií lze výhodnost investice zjistit ze skutečné výše dividendy (</w:t>
            </w:r>
            <w:proofErr w:type="spellStart"/>
            <w:r w:rsidR="00C4295D">
              <w:rPr>
                <w:rFonts w:eastAsia="TimesNewRomanPSMT" w:cs="TimesNewRomanPSMT"/>
                <w:sz w:val="24"/>
                <w:szCs w:val="24"/>
              </w:rPr>
              <w:t>Fio</w:t>
            </w:r>
            <w:proofErr w:type="spellEnd"/>
            <w:r w:rsidR="00C4295D">
              <w:rPr>
                <w:rFonts w:eastAsia="TimesNewRomanPSMT" w:cs="TimesNewRomanPSMT"/>
                <w:sz w:val="24"/>
                <w:szCs w:val="24"/>
              </w:rPr>
              <w:t xml:space="preserve"> banka/dividendy).</w:t>
            </w:r>
          </w:p>
          <w:p w:rsidR="00297B4E" w:rsidRPr="006612CE" w:rsidRDefault="00297B4E" w:rsidP="00C429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297B4E" w:rsidRPr="006612CE" w:rsidRDefault="00297B4E" w:rsidP="00297B4E">
      <w:pPr>
        <w:rPr>
          <w:rFonts w:cstheme="minorHAnsi"/>
          <w:sz w:val="24"/>
          <w:szCs w:val="24"/>
        </w:rPr>
      </w:pPr>
    </w:p>
    <w:sectPr w:rsidR="00297B4E" w:rsidRPr="006612CE" w:rsidSect="00CD56C9">
      <w:headerReference w:type="first" r:id="rId7"/>
      <w:footerReference w:type="first" r:id="rId8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07F" w:rsidRDefault="0034707F" w:rsidP="00AE5686">
      <w:pPr>
        <w:spacing w:after="0" w:line="240" w:lineRule="auto"/>
      </w:pPr>
      <w:r>
        <w:separator/>
      </w:r>
    </w:p>
  </w:endnote>
  <w:endnote w:type="continuationSeparator" w:id="0">
    <w:p w:rsidR="0034707F" w:rsidRDefault="0034707F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4707F"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2049" type="#_x0000_t202" style="position:absolute;left:0;text-align:left;margin-left:248.25pt;margin-top:-24pt;width:254pt;height:53.6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" stroked="f">
          <v:textbox>
            <w:txbxContent>
              <w:p w:rsidR="00901BB9" w:rsidRDefault="00901BB9" w:rsidP="00901BB9">
                <w:pPr>
                  <w:pStyle w:val="Bezmezer"/>
                  <w:spacing w:line="220" w:lineRule="exact"/>
                </w:pPr>
                <w:r>
                  <w:t xml:space="preserve">Národní pedagogický institut České republiky </w:t>
                </w:r>
              </w:p>
              <w:p w:rsidR="00901BB9" w:rsidRDefault="00901BB9" w:rsidP="00901BB9">
                <w:pPr>
                  <w:pStyle w:val="Bezmezer"/>
                  <w:spacing w:line="220" w:lineRule="exact"/>
                </w:pPr>
                <w:r>
                  <w:t>Projekt Modernizace odborného vzdělávání (MOV)</w:t>
                </w:r>
              </w:p>
              <w:p w:rsidR="00901BB9" w:rsidRPr="007509AF" w:rsidRDefault="00901BB9" w:rsidP="00901BB9">
                <w:pPr>
                  <w:pStyle w:val="Bezmezer"/>
                  <w:spacing w:line="220" w:lineRule="exact"/>
                </w:pPr>
                <w:r w:rsidRPr="00A1258D">
                  <w:t>Senovážné nám. 872/25, 110 00  Praha 1</w:t>
                </w:r>
                <w:r>
                  <w:t xml:space="preserve"> </w:t>
                </w:r>
                <w:r w:rsidRPr="00011501">
                  <w:t>www.projektmov</w:t>
                </w:r>
                <w:r>
                  <w:t>.cz</w:t>
                </w:r>
              </w:p>
              <w:p w:rsidR="00901BB9" w:rsidRDefault="003A7278" w:rsidP="00901BB9">
                <w:pPr>
                  <w:pStyle w:val="Bezmezer"/>
                  <w:spacing w:line="220" w:lineRule="exact"/>
                </w:pPr>
                <w:r w:rsidRPr="00011501">
                  <w:t>www.projektmov</w:t>
                </w:r>
                <w:r w:rsidR="00002616">
                  <w:t>.cz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07F" w:rsidRDefault="0034707F" w:rsidP="00AE5686">
      <w:pPr>
        <w:spacing w:after="0" w:line="240" w:lineRule="auto"/>
      </w:pPr>
      <w:r>
        <w:separator/>
      </w:r>
    </w:p>
  </w:footnote>
  <w:footnote w:type="continuationSeparator" w:id="0">
    <w:p w:rsidR="0034707F" w:rsidRDefault="0034707F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645FC"/>
    <w:multiLevelType w:val="hybridMultilevel"/>
    <w:tmpl w:val="B644E7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E86A5D"/>
    <w:multiLevelType w:val="multilevel"/>
    <w:tmpl w:val="2354D7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7250AD2"/>
    <w:multiLevelType w:val="hybridMultilevel"/>
    <w:tmpl w:val="1D0CB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172B3"/>
    <w:multiLevelType w:val="hybridMultilevel"/>
    <w:tmpl w:val="13E6C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686"/>
    <w:rsid w:val="00002616"/>
    <w:rsid w:val="000603C9"/>
    <w:rsid w:val="0007443C"/>
    <w:rsid w:val="0008455F"/>
    <w:rsid w:val="00087DF9"/>
    <w:rsid w:val="000A47E9"/>
    <w:rsid w:val="000E68A1"/>
    <w:rsid w:val="00103D59"/>
    <w:rsid w:val="001569AB"/>
    <w:rsid w:val="001911BD"/>
    <w:rsid w:val="001A7123"/>
    <w:rsid w:val="001D4A23"/>
    <w:rsid w:val="00235FA3"/>
    <w:rsid w:val="002538DA"/>
    <w:rsid w:val="00297B4E"/>
    <w:rsid w:val="002E0DE7"/>
    <w:rsid w:val="00300272"/>
    <w:rsid w:val="00324923"/>
    <w:rsid w:val="00336FD6"/>
    <w:rsid w:val="00340303"/>
    <w:rsid w:val="0034707F"/>
    <w:rsid w:val="003A7278"/>
    <w:rsid w:val="003D34F1"/>
    <w:rsid w:val="003F0477"/>
    <w:rsid w:val="00454467"/>
    <w:rsid w:val="00476E20"/>
    <w:rsid w:val="0048182C"/>
    <w:rsid w:val="00492310"/>
    <w:rsid w:val="004B433E"/>
    <w:rsid w:val="004C134C"/>
    <w:rsid w:val="004D228E"/>
    <w:rsid w:val="004D3F13"/>
    <w:rsid w:val="004E4FC3"/>
    <w:rsid w:val="005F0D27"/>
    <w:rsid w:val="00640590"/>
    <w:rsid w:val="0065096A"/>
    <w:rsid w:val="0066068B"/>
    <w:rsid w:val="006612CE"/>
    <w:rsid w:val="0066480A"/>
    <w:rsid w:val="00674594"/>
    <w:rsid w:val="006C1341"/>
    <w:rsid w:val="007409FD"/>
    <w:rsid w:val="00764251"/>
    <w:rsid w:val="007673D4"/>
    <w:rsid w:val="00785D87"/>
    <w:rsid w:val="007A2A19"/>
    <w:rsid w:val="007E6A4A"/>
    <w:rsid w:val="00806B40"/>
    <w:rsid w:val="00823EE4"/>
    <w:rsid w:val="00837248"/>
    <w:rsid w:val="00851090"/>
    <w:rsid w:val="008C1BE8"/>
    <w:rsid w:val="008C75E6"/>
    <w:rsid w:val="00901BB9"/>
    <w:rsid w:val="009310A3"/>
    <w:rsid w:val="00943DEB"/>
    <w:rsid w:val="009574EF"/>
    <w:rsid w:val="00992CF8"/>
    <w:rsid w:val="009A4341"/>
    <w:rsid w:val="009B2F03"/>
    <w:rsid w:val="009F6A78"/>
    <w:rsid w:val="00A05869"/>
    <w:rsid w:val="00A22E58"/>
    <w:rsid w:val="00A31DE4"/>
    <w:rsid w:val="00A6778A"/>
    <w:rsid w:val="00AC683F"/>
    <w:rsid w:val="00AE5686"/>
    <w:rsid w:val="00B04F49"/>
    <w:rsid w:val="00B365F5"/>
    <w:rsid w:val="00BA1671"/>
    <w:rsid w:val="00BC7CDB"/>
    <w:rsid w:val="00BF1247"/>
    <w:rsid w:val="00C0066A"/>
    <w:rsid w:val="00C34B16"/>
    <w:rsid w:val="00C4295D"/>
    <w:rsid w:val="00C50DB3"/>
    <w:rsid w:val="00C564C0"/>
    <w:rsid w:val="00C953BD"/>
    <w:rsid w:val="00CC69FD"/>
    <w:rsid w:val="00CD1498"/>
    <w:rsid w:val="00CD56C9"/>
    <w:rsid w:val="00D01BFE"/>
    <w:rsid w:val="00DB013C"/>
    <w:rsid w:val="00DB6A1F"/>
    <w:rsid w:val="00DC5D00"/>
    <w:rsid w:val="00DC6CF6"/>
    <w:rsid w:val="00DE51B4"/>
    <w:rsid w:val="00E378EB"/>
    <w:rsid w:val="00E418B6"/>
    <w:rsid w:val="00E6539B"/>
    <w:rsid w:val="00E75686"/>
    <w:rsid w:val="00E83D7A"/>
    <w:rsid w:val="00EC0595"/>
    <w:rsid w:val="00ED4E95"/>
    <w:rsid w:val="00ED6BFE"/>
    <w:rsid w:val="00F14316"/>
    <w:rsid w:val="00F360B1"/>
    <w:rsid w:val="00F4521B"/>
    <w:rsid w:val="00F62AFF"/>
    <w:rsid w:val="00F72BF6"/>
    <w:rsid w:val="00FB6BA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3C6DE1D-EED0-429C-A339-98C66F4C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7B4E"/>
  </w:style>
  <w:style w:type="paragraph" w:styleId="Nadpis1">
    <w:name w:val="heading 1"/>
    <w:basedOn w:val="Normln"/>
    <w:next w:val="Normln"/>
    <w:link w:val="Nadpis1Char"/>
    <w:uiPriority w:val="9"/>
    <w:qFormat/>
    <w:rsid w:val="006612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C50DB3"/>
    <w:rPr>
      <w:b/>
      <w:bCs/>
    </w:rPr>
  </w:style>
  <w:style w:type="paragraph" w:styleId="Odstavecseseznamem">
    <w:name w:val="List Paragraph"/>
    <w:basedOn w:val="Normln"/>
    <w:uiPriority w:val="34"/>
    <w:qFormat/>
    <w:rsid w:val="00C50DB3"/>
    <w:pPr>
      <w:ind w:left="720"/>
      <w:contextualSpacing/>
    </w:pPr>
  </w:style>
  <w:style w:type="table" w:styleId="Mkatabulky">
    <w:name w:val="Table Grid"/>
    <w:basedOn w:val="Normlntabulka"/>
    <w:uiPriority w:val="59"/>
    <w:rsid w:val="00C50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6612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8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3</cp:revision>
  <dcterms:created xsi:type="dcterms:W3CDTF">2018-12-05T07:28:00Z</dcterms:created>
  <dcterms:modified xsi:type="dcterms:W3CDTF">2020-03-20T11:38:00Z</dcterms:modified>
</cp:coreProperties>
</file>