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Default="00ED5BB7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  <w:r w:rsidRPr="00ED5BB7">
        <w:rPr>
          <w:b/>
          <w:color w:val="002060"/>
          <w:sz w:val="28"/>
          <w:szCs w:val="28"/>
        </w:rPr>
        <w:t xml:space="preserve">Pracovní list 1 </w:t>
      </w:r>
      <w:r w:rsidR="007A72C7">
        <w:rPr>
          <w:b/>
          <w:color w:val="002060"/>
          <w:sz w:val="28"/>
          <w:szCs w:val="28"/>
        </w:rPr>
        <w:t xml:space="preserve">- řešení - </w:t>
      </w:r>
      <w:r w:rsidR="00000C84"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  <w:t>Barvové prostory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7C2991" w:rsidRDefault="00000C84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Definice jednotlivých barvových prostorů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RPr="00AD2314" w:rsidTr="00000C84">
        <w:tc>
          <w:tcPr>
            <w:tcW w:w="9351" w:type="dxa"/>
          </w:tcPr>
          <w:p w:rsidR="00000C84" w:rsidRPr="0087588F" w:rsidRDefault="0087588F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7588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RGB – </w:t>
            </w:r>
            <w:proofErr w:type="spellStart"/>
            <w:r w:rsidR="005303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</w:t>
            </w:r>
            <w:r w:rsidRPr="0087588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ed</w:t>
            </w:r>
            <w:proofErr w:type="spellEnd"/>
            <w:r w:rsidRPr="0087588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 </w:t>
            </w:r>
            <w:r w:rsidR="005303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</w:t>
            </w:r>
            <w:r w:rsidRPr="0087588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reen, </w:t>
            </w:r>
            <w:r w:rsidR="005303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</w:t>
            </w:r>
            <w:r w:rsidRPr="0087588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lue (červená, zelená, modrá)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Barvový prostor, který nás obklopuje</w:t>
            </w:r>
            <w:r w:rsidR="007A72C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barvy jsou do našich očí vyzařovány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Smícháním těchto barev</w:t>
            </w:r>
            <w:r w:rsidR="005303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ných světel na černém pozadí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vzniká bílá barva. Tyto barvy jsou vyzařovány např. monitorem, skenerem, fotoaparátem atd.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410764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MYK – </w:t>
            </w:r>
            <w:r w:rsidR="004205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yan, </w:t>
            </w:r>
            <w:r w:rsidR="004205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agenta, </w:t>
            </w:r>
            <w:proofErr w:type="spellStart"/>
            <w:r w:rsidR="004205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Y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el</w:t>
            </w:r>
            <w:r w:rsidR="007B105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ow</w:t>
            </w:r>
            <w:proofErr w:type="spellEnd"/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3B0F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ey</w:t>
            </w:r>
            <w:proofErr w:type="spellEnd"/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(nebo kontrast). Jedná se o tiskové barvy, které naopak světlo </w:t>
            </w:r>
            <w:r w:rsidR="003B0F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absorbují 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 vznikají v průsečíku RGB barev. Jejich smícháním</w:t>
            </w:r>
            <w:r w:rsidR="003B0F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(ve formě např. tiskových barev)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vzniká</w:t>
            </w:r>
            <w:r w:rsidR="003B0F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na bílém substrátu (podkladu)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tmavě šedá barva</w:t>
            </w:r>
            <w:r w:rsidR="003B0F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(v ideálním případě by měla vzniknout černá)</w:t>
            </w:r>
            <w:r w:rsidR="002543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r w:rsidR="007675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T</w:t>
            </w:r>
            <w:r w:rsidR="007B105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y</w:t>
            </w:r>
            <w:r w:rsidR="007675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to barvy použív</w:t>
            </w:r>
            <w:r w:rsidR="003B0F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á převážná většina</w:t>
            </w:r>
            <w:r w:rsidR="007675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3B0F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tiskáren </w:t>
            </w:r>
            <w:r w:rsidR="007675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a </w:t>
            </w:r>
            <w:r w:rsidR="003B0F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tiskových </w:t>
            </w:r>
            <w:r w:rsidR="007675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stroj</w:t>
            </w:r>
            <w:r w:rsidR="003B0FE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ů</w:t>
            </w:r>
            <w:r w:rsidR="007675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7675C2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CIE L*a*b – L = </w:t>
            </w:r>
            <w:proofErr w:type="spellStart"/>
            <w:r w:rsidR="0033219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ightness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(</w:t>
            </w:r>
            <w:r w:rsidR="00BF64A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měrná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světelnost), a = </w:t>
            </w:r>
            <w:r w:rsidR="009001F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(-)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osa zelená – </w:t>
            </w:r>
            <w:r w:rsidR="009001F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(+)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červená, b = </w:t>
            </w:r>
            <w:r w:rsidR="009001F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(-)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osa modrá – </w:t>
            </w:r>
            <w:r w:rsidR="009001F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(+)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žlutá. Jedná se o matematický barvový model nezávislý na použitém zařízení.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7675C2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AD2314" w:rsidRPr="00000C84" w:rsidRDefault="00000C84" w:rsidP="00ED5BB7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00C84">
        <w:rPr>
          <w:b/>
          <w:sz w:val="24"/>
          <w:szCs w:val="24"/>
        </w:rPr>
        <w:t>Vztah mezi jednotlivými barvovými prostory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Tr="00000C84">
        <w:tc>
          <w:tcPr>
            <w:tcW w:w="9351" w:type="dxa"/>
          </w:tcPr>
          <w:p w:rsidR="00000C84" w:rsidRPr="00E22B36" w:rsidRDefault="00E22B36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22B3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RGB </w:t>
            </w:r>
            <w:r w:rsidR="00C7360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× </w:t>
            </w:r>
            <w:r w:rsidRPr="00E22B3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CMYK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–</w:t>
            </w:r>
            <w:r w:rsidRPr="00E22B3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RGB barvy se vyskytují ve světelném spektru, které je schopno zachytit lidské oko. V průsečících těchto barev vznikají tiskové barvy CMYK. Při tisku na analogových tiskových strojích je třeba veškeré tiskové podklady převádět do CMYK. U digitálních barevných tiskových strojů </w:t>
            </w:r>
            <w:r w:rsidR="007B105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to není nutné, protože ty dokážou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převést RGB barvy do CMYK</w:t>
            </w:r>
            <w:r w:rsidR="00C7360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někdy lépe než </w:t>
            </w:r>
            <w:r w:rsidR="007B105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grafický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program </w:t>
            </w:r>
            <w:r w:rsidR="007B105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Adobe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Photoshop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</w:tr>
      <w:tr w:rsidR="00000C84" w:rsidTr="00000C84">
        <w:tc>
          <w:tcPr>
            <w:tcW w:w="9351" w:type="dxa"/>
          </w:tcPr>
          <w:p w:rsidR="00000C84" w:rsidRPr="00E22B36" w:rsidRDefault="00E22B36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RGB</w:t>
            </w:r>
            <w:r w:rsidR="00C7360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CMYK </w:t>
            </w:r>
            <w:r w:rsidR="00C7360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×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CIE L*a*b. Při převodu barev z RGB do CMYK používají digitální tiskové stroje prostor CIE L*a*b k tomu, aby se přiblížil</w:t>
            </w:r>
            <w:r w:rsidR="007B105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y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co nejvíce k barvám CMYK</w:t>
            </w:r>
            <w:r w:rsidR="005537F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r w:rsidR="007A72C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Princip funguje i naopak, tedy při převodu z CMYK do RGB.</w:t>
            </w: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5D7BDD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5D7BDD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5D7BDD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AD231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ED5BB7" w:rsidRPr="00E22B36" w:rsidRDefault="00E22B36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22B36">
        <w:rPr>
          <w:b/>
          <w:sz w:val="24"/>
          <w:szCs w:val="24"/>
        </w:rPr>
        <w:t>Práce s jednotlivými barvovými prostory při přípravě zakázky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Tr="00ED5BB7">
        <w:tc>
          <w:tcPr>
            <w:tcW w:w="9344" w:type="dxa"/>
          </w:tcPr>
          <w:p w:rsidR="00ED5BB7" w:rsidRPr="00EC6DB7" w:rsidRDefault="00EC6DB7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je na zakázkovém sáčku vyznačen tisk na jakémkoli analogovém stroji, je třeba veškeré podklady dodané v barvovém prostoru RGB převést do režimu CMYK.</w:t>
            </w:r>
          </w:p>
        </w:tc>
      </w:tr>
      <w:tr w:rsidR="00ED5BB7" w:rsidTr="00ED5BB7">
        <w:tc>
          <w:tcPr>
            <w:tcW w:w="9344" w:type="dxa"/>
          </w:tcPr>
          <w:p w:rsidR="00ED5BB7" w:rsidRPr="00EC6DB7" w:rsidRDefault="00EC6DB7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Pokud je na zakázkovém sáčku vyznačen tisk na digitálním tiskovém stroji, je možné podklady ponechat v RGB. Zde je ale nutné ověřit si u výrobce stroje, co doporučuje. Některé technologie vyloženě doporučují ponechat podklady v RGB, protože </w:t>
            </w:r>
            <w:r>
              <w:rPr>
                <w:sz w:val="24"/>
                <w:szCs w:val="24"/>
              </w:rPr>
              <w:lastRenderedPageBreak/>
              <w:t>technické řešení daného stroje dokáže lépe převést barvy RGB do CMYK než u převodu v</w:t>
            </w:r>
            <w:r w:rsidR="007B105F">
              <w:rPr>
                <w:sz w:val="24"/>
                <w:szCs w:val="24"/>
              </w:rPr>
              <w:t xml:space="preserve"> grafickém </w:t>
            </w:r>
            <w:r>
              <w:rPr>
                <w:sz w:val="24"/>
                <w:szCs w:val="24"/>
              </w:rPr>
              <w:t xml:space="preserve">programu </w:t>
            </w:r>
            <w:r w:rsidR="007B105F">
              <w:rPr>
                <w:sz w:val="24"/>
                <w:szCs w:val="24"/>
              </w:rPr>
              <w:t xml:space="preserve">Adobe </w:t>
            </w:r>
            <w:proofErr w:type="spellStart"/>
            <w:r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C07C82" w:rsidTr="00ED5BB7">
        <w:tc>
          <w:tcPr>
            <w:tcW w:w="9344" w:type="dxa"/>
          </w:tcPr>
          <w:p w:rsidR="00C07C82" w:rsidRDefault="00C07C82" w:rsidP="00ED5BB7">
            <w:pPr>
              <w:rPr>
                <w:sz w:val="24"/>
                <w:szCs w:val="24"/>
              </w:rPr>
            </w:pPr>
          </w:p>
        </w:tc>
      </w:tr>
      <w:tr w:rsidR="002D0E6D" w:rsidTr="00ED5BB7">
        <w:tc>
          <w:tcPr>
            <w:tcW w:w="9344" w:type="dxa"/>
          </w:tcPr>
          <w:p w:rsidR="002D0E6D" w:rsidRDefault="002D0E6D" w:rsidP="00ED5BB7">
            <w:pPr>
              <w:rPr>
                <w:sz w:val="24"/>
                <w:szCs w:val="24"/>
              </w:rPr>
            </w:pPr>
          </w:p>
        </w:tc>
      </w:tr>
    </w:tbl>
    <w:p w:rsidR="00ED5BB7" w:rsidRDefault="00ED5BB7" w:rsidP="00ED5BB7">
      <w:pPr>
        <w:spacing w:after="0"/>
        <w:rPr>
          <w:b/>
          <w:sz w:val="24"/>
          <w:szCs w:val="24"/>
        </w:rPr>
      </w:pPr>
    </w:p>
    <w:p w:rsidR="00ED5BB7" w:rsidRPr="00AB1C31" w:rsidRDefault="00EC6DB7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64037">
        <w:rPr>
          <w:b/>
          <w:sz w:val="24"/>
          <w:szCs w:val="24"/>
        </w:rPr>
        <w:t>Praktické ukázky barvových prostorů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Tr="00F750B8">
        <w:tc>
          <w:tcPr>
            <w:tcW w:w="9351" w:type="dxa"/>
          </w:tcPr>
          <w:p w:rsidR="00F750B8" w:rsidRPr="00EC6DB7" w:rsidRDefault="00EC6DB7" w:rsidP="007A72C7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RGB prostor </w:t>
            </w:r>
            <w:proofErr w:type="spellStart"/>
            <w:r>
              <w:rPr>
                <w:sz w:val="24"/>
                <w:szCs w:val="24"/>
              </w:rPr>
              <w:t>odprezentujeme</w:t>
            </w:r>
            <w:proofErr w:type="spellEnd"/>
            <w:r>
              <w:rPr>
                <w:sz w:val="24"/>
                <w:szCs w:val="24"/>
              </w:rPr>
              <w:t xml:space="preserve"> tak, že k bílé ploše monitoru přiložíme digitální mikroskop</w:t>
            </w:r>
            <w:r w:rsidR="00BB1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ten by nám měl ukázat čtverečky nebo obdélníčky modré, červené a zelené barvy.</w:t>
            </w:r>
            <w:r w:rsidR="00BB17E2">
              <w:rPr>
                <w:sz w:val="24"/>
                <w:szCs w:val="24"/>
              </w:rPr>
              <w:t xml:space="preserve"> Tento pokus lze provést i </w:t>
            </w:r>
            <w:r w:rsidR="007A72C7">
              <w:rPr>
                <w:sz w:val="24"/>
                <w:szCs w:val="24"/>
              </w:rPr>
              <w:t>s</w:t>
            </w:r>
            <w:r w:rsidR="00BB17E2">
              <w:rPr>
                <w:sz w:val="24"/>
                <w:szCs w:val="24"/>
              </w:rPr>
              <w:t> přisedlou kapkou vody na plochu monitoru. Pokud má škola ve svém vybavení spektrofotometr či měřicí sondu, lze pokus povést pomocí těchto nástrojů (možnost nástinu do správy barev).</w:t>
            </w:r>
          </w:p>
        </w:tc>
      </w:tr>
      <w:tr w:rsidR="00F750B8" w:rsidTr="00F750B8">
        <w:tc>
          <w:tcPr>
            <w:tcW w:w="9351" w:type="dxa"/>
          </w:tcPr>
          <w:p w:rsidR="00F750B8" w:rsidRPr="00EC6DB7" w:rsidRDefault="00EC6DB7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CMYK prostor </w:t>
            </w:r>
            <w:proofErr w:type="spellStart"/>
            <w:r>
              <w:rPr>
                <w:sz w:val="24"/>
                <w:szCs w:val="24"/>
              </w:rPr>
              <w:t>odprezentujeme</w:t>
            </w:r>
            <w:proofErr w:type="spellEnd"/>
            <w:r>
              <w:rPr>
                <w:sz w:val="24"/>
                <w:szCs w:val="24"/>
              </w:rPr>
              <w:t xml:space="preserve"> tak, že na průhledné f</w:t>
            </w:r>
            <w:r w:rsidR="007B105F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lie natiskneme postupně všechny čtyři výtažky CMYK. Tyto výtažky nalepíme na </w:t>
            </w:r>
            <w:proofErr w:type="spellStart"/>
            <w:r>
              <w:rPr>
                <w:sz w:val="24"/>
                <w:szCs w:val="24"/>
              </w:rPr>
              <w:t>forexovou</w:t>
            </w:r>
            <w:proofErr w:type="spellEnd"/>
            <w:r>
              <w:rPr>
                <w:sz w:val="24"/>
                <w:szCs w:val="24"/>
              </w:rPr>
              <w:t xml:space="preserve"> podložku v pořadí </w:t>
            </w:r>
            <w:r w:rsidR="00BB17E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yan, </w:t>
            </w:r>
            <w:r w:rsidR="00BB17E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agenta, </w:t>
            </w:r>
            <w:proofErr w:type="spellStart"/>
            <w:r w:rsidR="00BB17E2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el</w:t>
            </w:r>
            <w:r w:rsidR="007B105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 w:rsidR="00BB17E2">
              <w:rPr>
                <w:sz w:val="24"/>
                <w:szCs w:val="24"/>
              </w:rPr>
              <w:t>BlacK</w:t>
            </w:r>
            <w:proofErr w:type="spellEnd"/>
            <w:r>
              <w:rPr>
                <w:sz w:val="24"/>
                <w:szCs w:val="24"/>
              </w:rPr>
              <w:t>. Postupným přikládáním f</w:t>
            </w:r>
            <w:r w:rsidR="007B105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lií na sebe vznikne konečný motiv a proužek vedle motivu bude mít tmavě šedou barvu.</w:t>
            </w: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617487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CA" w:rsidRDefault="008317CA" w:rsidP="00AE5686">
      <w:pPr>
        <w:spacing w:after="0" w:line="240" w:lineRule="auto"/>
      </w:pPr>
      <w:r>
        <w:separator/>
      </w:r>
    </w:p>
  </w:endnote>
  <w:endnote w:type="continuationSeparator" w:id="0">
    <w:p w:rsidR="008317CA" w:rsidRDefault="008317C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A6C8C" w:rsidRDefault="000A6C8C" w:rsidP="000A6C8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B3FA486" wp14:editId="63978F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6E035B" wp14:editId="3F839B2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C8C" w:rsidRDefault="000A6C8C" w:rsidP="000A6C8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A6C8C" w:rsidRDefault="000A6C8C" w:rsidP="000A6C8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A6C8C" w:rsidRPr="007509AF" w:rsidRDefault="000A6C8C" w:rsidP="000A6C8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E035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A6C8C" w:rsidRDefault="000A6C8C" w:rsidP="000A6C8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A6C8C" w:rsidRDefault="000A6C8C" w:rsidP="000A6C8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A6C8C" w:rsidRPr="007509AF" w:rsidRDefault="000A6C8C" w:rsidP="000A6C8C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CA" w:rsidRDefault="008317CA" w:rsidP="00AE5686">
      <w:pPr>
        <w:spacing w:after="0" w:line="240" w:lineRule="auto"/>
      </w:pPr>
      <w:r>
        <w:separator/>
      </w:r>
    </w:p>
  </w:footnote>
  <w:footnote w:type="continuationSeparator" w:id="0">
    <w:p w:rsidR="008317CA" w:rsidRDefault="008317C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A5D7B78" wp14:editId="0F56630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33A04"/>
    <w:rsid w:val="00050AC4"/>
    <w:rsid w:val="0007443C"/>
    <w:rsid w:val="000A47E9"/>
    <w:rsid w:val="000A6C8C"/>
    <w:rsid w:val="000D42B5"/>
    <w:rsid w:val="000E5E5C"/>
    <w:rsid w:val="000E68A1"/>
    <w:rsid w:val="00103D59"/>
    <w:rsid w:val="001569AB"/>
    <w:rsid w:val="001911BD"/>
    <w:rsid w:val="001A7123"/>
    <w:rsid w:val="001B4F76"/>
    <w:rsid w:val="001B6BC9"/>
    <w:rsid w:val="001D15B5"/>
    <w:rsid w:val="001D4A23"/>
    <w:rsid w:val="001D4E43"/>
    <w:rsid w:val="001F7F8E"/>
    <w:rsid w:val="002538DA"/>
    <w:rsid w:val="00254337"/>
    <w:rsid w:val="00254A9C"/>
    <w:rsid w:val="002D0E6D"/>
    <w:rsid w:val="002E5D01"/>
    <w:rsid w:val="00300272"/>
    <w:rsid w:val="00324923"/>
    <w:rsid w:val="003306C6"/>
    <w:rsid w:val="00331C8A"/>
    <w:rsid w:val="00332192"/>
    <w:rsid w:val="00336FD6"/>
    <w:rsid w:val="00340303"/>
    <w:rsid w:val="003A1205"/>
    <w:rsid w:val="003A7278"/>
    <w:rsid w:val="003B0FEB"/>
    <w:rsid w:val="003C7374"/>
    <w:rsid w:val="003F0477"/>
    <w:rsid w:val="00403110"/>
    <w:rsid w:val="00410764"/>
    <w:rsid w:val="004205D2"/>
    <w:rsid w:val="00445CA9"/>
    <w:rsid w:val="00454467"/>
    <w:rsid w:val="0048182C"/>
    <w:rsid w:val="004B433E"/>
    <w:rsid w:val="004C134C"/>
    <w:rsid w:val="004D228E"/>
    <w:rsid w:val="004D3F13"/>
    <w:rsid w:val="004E4FC3"/>
    <w:rsid w:val="0050265D"/>
    <w:rsid w:val="005075EA"/>
    <w:rsid w:val="00530319"/>
    <w:rsid w:val="005537F9"/>
    <w:rsid w:val="0059275A"/>
    <w:rsid w:val="005B457B"/>
    <w:rsid w:val="005D7BDD"/>
    <w:rsid w:val="005E6086"/>
    <w:rsid w:val="00617487"/>
    <w:rsid w:val="0065096A"/>
    <w:rsid w:val="006513D7"/>
    <w:rsid w:val="0066068B"/>
    <w:rsid w:val="006617B5"/>
    <w:rsid w:val="0066480A"/>
    <w:rsid w:val="007409FD"/>
    <w:rsid w:val="00764251"/>
    <w:rsid w:val="007673D4"/>
    <w:rsid w:val="007675C2"/>
    <w:rsid w:val="007A2A19"/>
    <w:rsid w:val="007A72C7"/>
    <w:rsid w:val="007B105F"/>
    <w:rsid w:val="007B115E"/>
    <w:rsid w:val="007C2991"/>
    <w:rsid w:val="007C41B6"/>
    <w:rsid w:val="00807F78"/>
    <w:rsid w:val="00823EE4"/>
    <w:rsid w:val="008317CA"/>
    <w:rsid w:val="00844010"/>
    <w:rsid w:val="00851090"/>
    <w:rsid w:val="008549A1"/>
    <w:rsid w:val="0087588F"/>
    <w:rsid w:val="008B1662"/>
    <w:rsid w:val="008C1BE8"/>
    <w:rsid w:val="009001F9"/>
    <w:rsid w:val="009310A3"/>
    <w:rsid w:val="00943DEB"/>
    <w:rsid w:val="009448F5"/>
    <w:rsid w:val="009616F3"/>
    <w:rsid w:val="00992CF8"/>
    <w:rsid w:val="009A4415"/>
    <w:rsid w:val="009C7371"/>
    <w:rsid w:val="009D3DF8"/>
    <w:rsid w:val="009E7528"/>
    <w:rsid w:val="009F6A78"/>
    <w:rsid w:val="00A22E58"/>
    <w:rsid w:val="00A31DE4"/>
    <w:rsid w:val="00A6778A"/>
    <w:rsid w:val="00AB1C31"/>
    <w:rsid w:val="00AB351E"/>
    <w:rsid w:val="00AB6620"/>
    <w:rsid w:val="00AB7C22"/>
    <w:rsid w:val="00AC79EE"/>
    <w:rsid w:val="00AD2314"/>
    <w:rsid w:val="00AE5686"/>
    <w:rsid w:val="00B1697C"/>
    <w:rsid w:val="00B365F5"/>
    <w:rsid w:val="00B56CCF"/>
    <w:rsid w:val="00B64037"/>
    <w:rsid w:val="00BB17E2"/>
    <w:rsid w:val="00BC7CDB"/>
    <w:rsid w:val="00BD5FEB"/>
    <w:rsid w:val="00BF1247"/>
    <w:rsid w:val="00BF1DA0"/>
    <w:rsid w:val="00BF64A0"/>
    <w:rsid w:val="00C0066A"/>
    <w:rsid w:val="00C07849"/>
    <w:rsid w:val="00C07C82"/>
    <w:rsid w:val="00C34B16"/>
    <w:rsid w:val="00C3786C"/>
    <w:rsid w:val="00C564C0"/>
    <w:rsid w:val="00C7360C"/>
    <w:rsid w:val="00C75329"/>
    <w:rsid w:val="00CC69FD"/>
    <w:rsid w:val="00CD70FB"/>
    <w:rsid w:val="00CF56E8"/>
    <w:rsid w:val="00D01BFE"/>
    <w:rsid w:val="00D21368"/>
    <w:rsid w:val="00D47B7C"/>
    <w:rsid w:val="00D504D1"/>
    <w:rsid w:val="00D95E96"/>
    <w:rsid w:val="00DB013C"/>
    <w:rsid w:val="00DC5D00"/>
    <w:rsid w:val="00DC6CF6"/>
    <w:rsid w:val="00DD26CA"/>
    <w:rsid w:val="00DE51B4"/>
    <w:rsid w:val="00DE5291"/>
    <w:rsid w:val="00E22B36"/>
    <w:rsid w:val="00E340F1"/>
    <w:rsid w:val="00E378EB"/>
    <w:rsid w:val="00E401E1"/>
    <w:rsid w:val="00E418B6"/>
    <w:rsid w:val="00E83D7A"/>
    <w:rsid w:val="00EC6DB7"/>
    <w:rsid w:val="00ED5BB7"/>
    <w:rsid w:val="00ED6BFE"/>
    <w:rsid w:val="00F14316"/>
    <w:rsid w:val="00F20DE6"/>
    <w:rsid w:val="00F360B1"/>
    <w:rsid w:val="00F4521B"/>
    <w:rsid w:val="00F72BF6"/>
    <w:rsid w:val="00F750B8"/>
    <w:rsid w:val="00F931C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5CB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0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20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0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0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2E2-DAF0-4929-8EE9-CFD583FF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2019-06-26T14:28:00Z</dcterms:created>
  <dcterms:modified xsi:type="dcterms:W3CDTF">2020-04-06T08:00:00Z</dcterms:modified>
</cp:coreProperties>
</file>