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Hospodaříme s přebytkem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SV-m-3/AG90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nároků na 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rozvoj dovedností v oblasti rozpočtové a peněžní gramotnosti. Modulovými tématy jsou rozpočet domácnosti, spoření, investování, pojištění a zabezpečení na stáří.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sestaví jednoduchý domácí rozpočet;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rozliší vyrovnaný, přebytkový a schodkový rozpočet;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možnosti pro nakládání s přebytkem domácího rozpočtu s ohledem na očekávané výnosy, rizika a likviditu;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orientuje se v nabídce služeb různých finančních společností.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Přebytek v domácnosti;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spotřeba;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spoření;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investice;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pojištění.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vztahuje k hospodaření s přebytkem v domácnosti. Žáci si osvojují dovednosti v oblastech sestavení domácího rozpočtu, zvolení vhodné formy spoření, investování, pojištění a zabezpečení na stáří. Modul přispívá ke zlepšení úrovně finanční gramotnosti žáků. Podstatnou složkou modulu je důraz na orientaci v nabídkách různých finančních institucí.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soubory úloh zaměřených na sestavení domácího rozpočtu a rozlišení vyrovnaného, přebytkového a schodkového rozpočtu;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pracovními listy zaměřenými na rozvoj a ověřování výsledků učení a následná analýza řešení pod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webovými stránkami poskytujícími informace o nabídce jednotlivých finančních společností;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případně beseda/exkurze (stavební spořitelna, banka, pojišťovna, finanční poradce…)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modulu probíhá následovně: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Výsledky učení a) a b) jsou ověřovány prostřednictvím zadané úlohy.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Výsledky učení c) jsou ověřeny prostřednictvím testu.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Výsledky učení d) jsou ověřeny na základě pracovního listu, jehož specifikací jsou dovednosti v získávání a zpracování informací v předmětné oblasti.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nastavení všech tří forem ověřování výsledků je třetinové. Toto nastavení lze měnit podle potřeb jednotlivých vyučujících, přičemž zastoupení jednotlivých forem ověřování výsledků učení by nemělo klesnout pod 25 %. Procentuální zastoupení výsledku učení je odvozeno od maximálního získatelného počtu bodů za daný výsledek učení (nikoli tedy od počtu úloh – může se jednat o dramatický rozdíl). Doporučuje se při konstrukci testu odvozovat úlohy od souvislých i nesouvislých výchozích textů.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rozsahu modulu se průběžně provádí pouze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a), b) a d) jsou při závěrečném ověřování hodnoceny na škále splnil – nesplnil.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c)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 nižší úrovní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modul, pokud splnil každý z výsledků učení a), b) a d) a zároveň dosáhl minimálně 40% úspěšnosti v testu ověřujícím výsledek učení c).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www.penizenauteku.cz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P., MÜNCH, O., CHROMÁ, D.: Ekonomika – ekonomická a finanční gramotnost pro střední školy (Eduko, 2018 akt.)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desková hra: Finanční svoboda (www.financnisvoboda.cz)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zdroje jsou pouze ilustračním příkladem. Výběr studijní literatury je v kompetenci vyučujícího v závislosti na konkrétních podmínkách školy.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Klára Matějovská.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penizenauteku.cz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