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stroje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kruhová dráha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plný kruh kartézský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přímková dráha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přímkový pohyb s polárními souřadnicemi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šroubovice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vrtací cykly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a 2. ročníku výše uvedených oborů vzdělání, základní znalosti technologických vlastností kovových materiálů a základní znalosti technologie obrábění.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 je nabýt kompetence a dovedností žáků v oboru frézování a soustružení na NC strojích.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na NC 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NC soustruh a NC frézku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na NC soustruhu a NC frézce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procvičuje a ověřuje praktické dovednosti testem a výrobkem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stroje: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na NC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ovládací prvky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provozní režimy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ruční cykly na NC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programování na NC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simulace a práce na NC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ovládání počítačového programu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struktura programu pro CNC 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žákům je předvedena praktická ukázka aplikace pravoúhlého kartézského systému pro uspořádání „nástroj – obrobek“ na příslušném CNC stroji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optimální volba nulového bodu obrobku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využívání adresových písmen programu, především při zadávání souřadnic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zásady programování ISO 841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optimální využívání zvláštních znaků v programu pro CNC 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využívání pomocné funkce (M funkce)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prezentace, animace a kinematika počítačových příkazů pomocí video-prezentace, iPad a Apple TV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čte a vytváří výkresy součástí, výkresy sestavení, schémata a jiné produkty grafické a technické komunikace používané ve strojírenství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orientuje se v technologiích strojírenské výroby součástí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aplikuje pravoúhlý kartézský systém pro uspořádání „nástroj – obrobek“ na příslušném CNC stroji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zná vztažné body CNC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dodržuje formát bloku (věty, řádku) programu pro CNC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správně zadává jednotlivá „slova“ v programu pro CNC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optimálně využívá adresová písmena programu, především při zadávání souřadnic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 řešení optimálního využití zvláštních znaků v programu pro CNC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sestaví ucelené řešení praktického úkolu vlastní tvorby programu pro frézované díly a pro soustružené díly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řeší úlohy s využitím odborných aplikačních software pro počítačovou podporu projektové a konstrukční přípravy výroby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seminární práci na téma dle zadaného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zkoušení - prověření odborných znalosti z oblasti programování na NC strojích pro frézování a soustružení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testování získaných kompetencí, BOZP - sestavení uceleného řešení praktického úkolu vlastní tvorby programu pro frézované díly a pro soustružené díly dle zadání včetně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 </w:t>
      </w:r>
      <w:r>
        <w:rPr>
          <w:b/>
        </w:rPr>
        <w:t xml:space="preserve">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Elektronické příručky – vlastní výroba.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Slavomír Matějka.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