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Použití písma v designu webové stránky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82-m-4/AC74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82-41-M/03 Výstavní tvorba a bytový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absolvování modulu Základy HTML, HTML5, CSS – Kaskádové styly, W3C, SEO optimalizace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 v oblasti užití písma v designu webové stránky. Technologické aspekty, zdroje a licencování. Žák se seznámí s názvoslovím, klasifikací písem a určením vhodnosti použití daného fontu v designu webu. Žák směřuje ke dvěma hlavním cílům – čitelnosti a vizuální poutavosti.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vyjmenuje dělení písma, používá názvosloví a technologické aspekty, popíše problematiku licencování, žák je schopen aplikovat získané znalosti do vlastní práce a pracovat na zadaném úkolu 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rozeznává a používá klasifikaci písem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typografické názvosloví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vymezí vhodnost užití kombinace více fontů na stránku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navržení i realizaci webu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sémantické a vizuální formátování znaků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vymezí zdroje licencovaných i volně použitelných písem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prvky licenční smlouvy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Velikost písma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 mobil: 14–16 px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 desktop: 16–22 px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Šírka řádku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ideální šířka řádku (45-80 znaky)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Výška řádku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 CSS je to line-height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čím delší je řádek, tím větší musí být výška řádku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čím menší je písmo, tím větší musí být výška řádku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Kontrast a světlost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hutnost nebo pocit těžkosti písma na stránce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Rytmus (vodorovný i svislý)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umístění písma na mřížku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Typografická škála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poměr velikosti nadpisů, podnadpisů, úvodu (perexu) a běžného textu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Vhodnost užití písma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účel webu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obsah webu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rodina písem (řezy)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česká znaková sada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Licence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open source–Google Fonts, Open–Foundry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licence placená–omezení na jeden a více desktop zařízení, nebo počet zobrazení na webu (myfonts.com)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free licence pro osobní účely, ne vždy je free licence povolena pro webové 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odborný výklad s prezentací a ukázkami (seznámení s tvorbou webu a práse s typografií a sazbou, klasifikace písem, typografické zásady, licence)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přednes s použitím odborné literatury – obrazové publikace typografie, prezentace názorných prací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vlastní tvorba s konzultací - průběžná práce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hodnocené domácí úkoly (konzultace a diskuse)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orientace žáků v učivu (diskuze, ústní prezentace)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průběžné práce: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provedení vlastního webdesignu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teoretická část (teoretický popis tématu - práce s typografií)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praktická část (provádí webdesign s množstvím textu, dbá na čitelnost a vizuální poutavost...)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závěr (výsledky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seznámí se a následně používá klasifikaci písem a typografické názvosloví, typografické zásady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vymezí vhodnost užití při designu vlastního webu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používá sémantické a vizuální formátování znaků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vymezí zdroje licencovaných i volně použitelných písem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vyjmenuje prvky licenční smlouvy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forma zkoušení: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práce: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provedení vlastního webdesignu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zpracování vlastní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klasifikaci písem a typografické názvosloví, typografické zásady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užití fontů v designu vlastního webu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sémantické a vizuální formátování znaků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zdroje licencovaných i volně použitelných písem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prvky licenční smlouvy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1 – 90 až 100 % grafický projev je přesný a estetický, výsledky činnosti jsou kvalitní, pouze s menšími nedostatky, žák je schopen pracovat sám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4 – 40 až 59 % v kvalitě výsledků činnosti a grafickém projevu se projevují nedostatky, grafický projev je málo estetický, závažné nedostatky a chyby dovede žák s pomocí učitele opravit, při samostatném studiu má velké potíže - nedovede samostatně studovat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r>
        <w:t xml:space="preserve">hranice úspěšnosti zkoušky – 39 % kvalita výsledků činnosti a grafický projev mají vážné nedostatky, závažné nedostatky a chyby nedovede žák opravit ani s pomocí učitele, nedovede samostatně stdovat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BERAN, Vladimír, kolektiv autorů; Typografický manuál;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ŘEZÁČ, Jan; Web ostrý jako břitva; 2016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MUZIKA, František: Krásné písmo ve vývoji latinky (I. + II. díl), 1963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SALTZ, Ina: Základy typografie,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Robin Michenka.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