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Komunikace v obchodě a službách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SV-m-3/AP30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 průpravný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SV - Člověk a svět práce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Nejsou stanoveny.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je průpravný, je určen žákům středních škol vzdělávacích oborů, které připravují žáky k působení v obchodě a službách. Modul směřuje k rozvoji komunikačních dovedností uplatňujících se v této sféře a je úzce propojen s moduly Psychologie a Společenské vystupování.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vede žáky k osvojení dovedností potřebných při komunikaci s obchodními partnery, zákazníky a klienty. Žáci se učí odpovědně pracovat s informacemi v tištěném i elektronickém prostředí, uplatňovat zásady verbální i nonverbální komunikace v různých situacích. Součástí modulu je rozvoj dovedností v komunikaci se zdravotně znevýhodněnými občany a s cizinci. Cílem modulu je rovněž naučit žáky v součinnosti s moduly Píšeme správně česky a Víme, co říkáme a píšeme (vzdělávací oblast Komunikace v českém jazyce) tvořit jazykově, formálně i věcně správné písemné dokumenty.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je připravován tak, aby dovedl vést kultivovanou komunikaci v závislosti na aktuálních potřebách.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vytváří jazykově, formálně a věcně správné texty podle konkrétního účelu;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dovede zpracovat informace z různých zdrojů;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různé způsoby a projevy verbální i nonverbální komunikace v závislosti na komunikační situaci;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komunikuje adekvátně různým komunikačním situacím.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pracuje s informacemi jako základním komunikačním materiálem. Osvojuje si základní teoretické poznatky v oblasti komunikace a učí se tyto poznatky aplikovat při řešení modelových konkrétních situací v obchodě a/nebo službách: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vyhledání a zpracování informací;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vytváření dokumentů a písemností v závislosti na jejich užití;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charakteristické rysy a projevy typické pro různé komunikační situace;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porozumění nonverbální komunikaci a její vědomé používání.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různorodými texty;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videoukázkami a obrazovým materiálem s metodickým vedením vyučujícího;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práce s tematickými soubory úloh a pracovními listy (individuální i skupinová práce);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psaní písemností a dokumentů odpovídajících různým komunikačním situacím;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analýza modelových projevů nonverbální komunikace;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žákovských projektů řešících modelové situace v obchodě a službách;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prezentace výstupů žákovských projektů;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modelové komunikační situace včetně mailové a telefonické;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řízená diskuse k tematice typických konfliktních situací;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rolové hry;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exkurze;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besedy s pracovníky z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Průběžně je prováděno hodnocení s využitím prvků formativního hodnocení, na konci modulu je využito nástrojů sumativního i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vytváří jazykově, formálně a věcně správné texty podle konkrétního účelu;  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 průběhu modulu ověřováno prostřednictvím psaní textů s argumentační obhajobou pisatele; doporučeno využívat především formativního hodnocení;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dovede zpracovat informace z různých zdrojů; 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průběhu modulu ověřováno prostřednictvím souborů úloh a pracovních listů s 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rozliší různé způsoby a projevy verbální i nonverbální komunikace v závislosti na komunikační situaci;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 průběhu modulu ověřováno prostřednictvím souborů úloh a pracovních listů s využitím videoukázek a obrazových materiálů i samostatným projevem s argumentační obhajobou a diskusí;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komunikuje adekvátně různým komunikačním situacím;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 průběhu modulu ověřováno prostřednictvím samostatných projevů žáků s argumentační obhajobou a diskusí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u výsledku učení a) má formu žákem vytvořeného písemného projevu podle zadaných kritérií.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b)–c) jsou ověřovány v závěru modulu souhrnným testem s minimálně dvoutřetinovým zastoupením otevřených úloh,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30 %. Procentuální zastoupení výsledku učení je odvozeno od maximálního získatelného počtu bodů za daný výsledek učení (nikoli tedy od počtu úloh – může se jednat o dramatický rozdíl).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výsledku učení d) je žák hodnocen průběžně především s využitím formativního hodnocení. Předmětem hodnocení je zde především dosahovaný pokrok v dovednostech potřebných k uplatnění v různých komunikačních situacích v daném oboru vzdělání.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b)–c)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průběžně využívat prvků formativního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Závěrečné hodnocení výsledku učení a) se provádí podle kritérií hodnocení, která zahrnují: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adekvátnost formy písemného projevu účelu textu / komunikační situaci;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funkčnost užitých jazykových prostředků;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jazykovou správnost.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Každé kritérium hodnocení má v celkovém hodnocení písemného projevu třetinovou váhu. Všechna kritéria jsou hodnocena na škále uspěl – neuspěl. Případné bodové hodnocení v rámci jednotlivých kritérií je v kompetenci vyučujícího v závislosti na podmínkách konkrétní školy. Žák v této části uspěl, pokud uspěl ve všech kritériích.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b)–c)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pod 40 % = nedostatečný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od 40 do 55 % = dostatečný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od 56 do 70 % = dobrý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od 71 do 85 % = chvalitebný 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Nastavená obtížnost testu musí odpovídat dovednostem žáků kategorie vzdělání H, tzn. doporučuje se používat úlohy s nižší a průměrnou úrovní obtížnosti. Zařazení nepřiměřeně obtížných úloh by vyvolávalo potřebu posunovat mezní hranici úspěšnosti a použitý evaluační nástroj (test / soubor úloh / pracovní list) by vykazoval nevyhovující psychometrické charakteristiky.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 výsledku učení d) je žák hodnocen na základě průběžného hodnocení na škále uspěl – neuspěl.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v modulu uspěl, pokud uspěl ve všech třech částech závěrečného hodnocení /a); b)–c); d)/. Celkové hodnocení modulu se vyjadřuje škálou uspěl – neuspěl. Pokud by žák měl hodnocen známkou, pak se celkové hodnocení získává váženým průměrem jednotlivých částí závěrečného hodnocení.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např.: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PÖHM, M.: Umění slovní sebeobrany. Praha, Grada 2013.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ŠTĚPÁNÍK, J. Umění jednat s lidmi – Cesta k úspěchu. Praha, Grada, 2003.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KOCOURKOVÁ, A. – HOCHOVÁ, I.: Písemná a elektronická komunikace pro střední školy, úřady a veřejnost. Praha, Eduko 2019.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materiály obsahově blízkými zájmům žáků či jejich zaměření.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