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Kalení a popouštění sekáčů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82-m-3/AM72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odborný praktický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L0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82 - Umění a užité umění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23 - Strojírenství a strojírenská výroba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41 - Zemědělství a lesnictví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Profesní kvalifikace</w:t>
      </w:r>
    </w:p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Kovář ruční</w:t>
        </w:r>
      </w:hyperlink>
      <w:r>
        <w:t xml:space="preserve">
(kód: 21-016-H)
</w:t>
      </w:r>
    </w:p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10">
        <w:r>
          <w:rPr>
            <w:rStyle w:val="Hyperlink"/>
            <w:color w:val="000080"/>
            <w:u w:val="single"/>
          </w:rPr>
          <w:t xml:space="preserve">Kovář strojní</w:t>
        </w:r>
      </w:hyperlink>
      <w:r>
        <w:t xml:space="preserve">
(kód: 21-015-H)
</w:t>
      </w:r>
    </w:p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11">
        <w:r>
          <w:rPr>
            <w:rStyle w:val="Hyperlink"/>
            <w:color w:val="000080"/>
            <w:u w:val="single"/>
          </w:rPr>
          <w:t xml:space="preserve">Opravář strojů a zařízení</w:t>
        </w:r>
      </w:hyperlink>
      <w:r>
        <w:t xml:space="preserve">
(kód: 23-001-H)
</w:t>
      </w:r>
    </w:p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12">
        <w:r>
          <w:rPr>
            <w:rStyle w:val="Hyperlink"/>
            <w:color w:val="000080"/>
            <w:u w:val="single"/>
          </w:rPr>
          <w:t xml:space="preserve">Stavební zámečník</w:t>
        </w:r>
      </w:hyperlink>
      <w:r>
        <w:t xml:space="preserve">
(kód: 36-059-H)
</w:t>
      </w:r>
    </w:p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13">
        <w:r>
          <w:rPr>
            <w:rStyle w:val="Hyperlink"/>
            <w:color w:val="000080"/>
            <w:u w:val="single"/>
          </w:rPr>
          <w:t xml:space="preserve">Umělecký kovář</w:t>
        </w:r>
      </w:hyperlink>
      <w:r>
        <w:t xml:space="preserve">
(kód: 82-003-H)
</w:t>
      </w:r>
    </w:p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14">
        <w:r>
          <w:rPr>
            <w:rStyle w:val="Hyperlink"/>
            <w:color w:val="000080"/>
            <w:u w:val="single"/>
          </w:rPr>
          <w:t xml:space="preserve">Umělecký zámečník</w:t>
        </w:r>
      </w:hyperlink>
      <w:r>
        <w:t xml:space="preserve">
(kód: 82-004-H)
</w:t>
      </w:r>
    </w:p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15">
        <w:r>
          <w:rPr>
            <w:rStyle w:val="Hyperlink"/>
            <w:color w:val="000080"/>
            <w:u w:val="single"/>
          </w:rPr>
          <w:t xml:space="preserve">Zemědělský kovář</w:t>
        </w:r>
      </w:hyperlink>
      <w:r>
        <w:t xml:space="preserve">
(kód: 41-030-H)
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standardu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05. 09. 2018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82-51-H/01 Umělecký kovář a zámečník, pasíř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82-51-L/01  Uměleckořemeslné zpracování kovů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41-56-H/01 Lesní mechanizátor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41-45-M/01 Mechanizace a služby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41-56-H/02 Opravář lesnických strojů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41-55-H/01 Opravář zemědělských strojů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41-54-H/01 Podkovář a zemědělský kovář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23-55-H/02 Karosář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23-55-H/01 Klempíř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23-57-H/01 Kovář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23-68-H/01 Mechanik opravář motorových vozidel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23-51-H/01 Strojní mechanik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používá technologii ohřevu materiálu pro ruční tváření kovů za tepla. Ovládá správný postoj při práci. Uplatňuje základy BOZP při ručním tváření kovů za tepla.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modulu je získání základních vědomostí a dovedností při nácviku technologického postupu tepelného zpracování kovů – KALENÍ a POPOUŠTĚNÍ. Osvojí si základní technologický postup kalení a popouštění.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se naučí postupy kalení a popouštění včetně správné volby pomůcek, přípravků a nástrojů. Osvojí si rizika při kalení a popouštění a zásady ochrany zdraví při práci.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Získání těchto znalostí a dovedností žákovi rozšíří možnosti vyrobit si potřebné nástroje, nářadí a pomůcky dle daných požadavků a svých potřeb. Naučí se opravovat poškozené, otupené nástroje, pomůcky a nářadí.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Očekávané výsledky učení vycházejí z profesní kvalifikace Umělecký kovář (kód: 82-003-H), Umělecký zámečník (kód: 82-004-H).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zvolí vhodný postup kalení a popouštění 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připraví pracoviště ke kalení a popouštění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připraví vhodné pomůcky, přípravky a nástroje na kalení a popouštění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zvolí správnou kalicí a popouštěcí teplotu pro úspěšné zakalení a popouštění daného materiálu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zvolí správný technologický postup kalení a popouštění s využitím jednoho ohřevu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vyhodnotí případnou chybu kalení a popouštění 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řídí případného pomocníka při kalení a popouštění 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vyhodnotí rizika při práci a dodržuje hygienu práce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Kompetence ve vazbě na NSK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82-003-H Umělecký kovář: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Volba postupu práce, způsobu zpracování, nástrojů, pomůcek a materiálů pro ruční zhotovování užitkových a dekorativních výrobků uměleckého kovářství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Obsluha kovářských výhní a pecí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82-004-H Umělecký zámečník: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Volba postupu práce, způsobu zpracování, nástrojů, pomůcek a materiálů pro ruční zhotovování užitkových a dekorativních výrobků uměleckého zámečnictví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Obsluha kovářských výhní a pecí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technologický postup kalení a popouštění  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způsoby kalení a popouštění  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určování kvality a závad kalení a popouštění  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pomůcky, přípravky, nářadí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rizika při práci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činnosti žáka: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aplikuje technologický postup kalení a popouštění  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používá různé způsoby kalení a popouštění  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určuje kvalitu a možné závady kalení a popouštění  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vhodně používá pomůcky, přípravky, nářadí 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předchází možným rizikům při práci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sleduje ukázku vyučujícího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reaguje na dotazy učitele odborného výcviku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stanovuje vhodný technologický postup kalení a popouštění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zvolí vhodný materiál na daný výkovek dle výkresu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aplikuje vhodný postup zvoleného druhu kalení a popouštění u daného výrobku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vyhodnocuje kvalitu vytvořeného kalení a popouštění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dodržuje BOZP 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Podle výkresu žák: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zhotoví nástroj - sekáč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renovuje ostří sekáče, sekery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ohřeje ostří na kalicí teplotu a ochladí – zakalí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využije ohřáté tělo sekáče a břitu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popouští na stanovenou barvu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Ve výuce se doporučuje kombinovat níže uvedené metody výuky.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 slovní: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monologické metody (popis, vysvětlení, výklad)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dialogické metody (rozhovor, diskuze)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 názorné demonstrace: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předvedení technologických postupů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pozorování demonstrace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praktické: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nácvik praktických dovedností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 případě předmětového uspořádání výuka probíhá ve vyučovacím předmětu odborný výcvik, odborná praxe, praktické vyučování.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Doporučuje se vyučovat v prvním ročníku.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Praktické zkoušení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jsou hodnoceni podle následujících kritérií: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správnost zvolené technologie kalení a popouštění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volba vhodných pomůcek, přípravků, nástrojů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samostatnost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organizace pracoviště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kvalita provedené práce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rozměrová a tvarová správnost porovnáním s výkresovou dokumentací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dodržení BOZP a PO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Hodnocení: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Výborný – žák splnil všechna požadovaná kritéria bez připomínek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Chvalitebný – žák splnil všechna požadovaná kritéria, práce vykazuje nepodstatné nedostatky 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Dobrý – žák splnil všechna požadovaná kritéria, práce vykazuje drobné nedostatky 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Dostatečný – žák splnil všechna požadovaná kritéria, ale práce vykazuje nedostatky, ale je použitelná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Nedostatečný – žák nesplnil dané požadavky  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– žák splnil kritéria kvality s hodnocením minimálně dostatečný.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Neprospěl – žák je hodnocen nedostatečný – nesplnil v dostatečné kvalitě a parametrech zadaný úkol.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JÍCHA, Antonín. </w:t>
      </w:r>
      <w:r>
        <w:rPr>
          <w:i/>
        </w:rPr>
        <w:t xml:space="preserve">Volné ruční kování: učební text pro 1. a 2. ročník středních odborných učilišť – učební obor 53-72-2 strojní kovář</w:t>
      </w:r>
      <w:r>
        <w:t xml:space="preserve">. Praha: Státní nakladatelství technické literatury, 1986.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FROLEC, Ivo. </w:t>
      </w:r>
      <w:r>
        <w:rPr>
          <w:i/>
        </w:rPr>
        <w:t xml:space="preserve">Kovářství</w:t>
      </w:r>
      <w:r>
        <w:t xml:space="preserve">. Praha: Grada, 2003. Řemesla, tradice, technika. ISBN 80-247-0611-3.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NSK - Odborné vzdělávání ve vztahu k NSK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Zdeněk Vítek. </w:t>
      </w:r>
      <w:hyperlink xmlns:r="http://schemas.openxmlformats.org/officeDocument/2006/relationships" r:id="rId16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8">
    <w:nsid w:val="099A08C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9">
    <w:nsid w:val="099A08C10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0">
    <w:nsid w:val="099A08C1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://www.narodnikvalifikace.cz/kvalifikace-543/revize-2073" TargetMode="External" Id="rId9"/>
  <Relationship Type="http://schemas.openxmlformats.org/officeDocument/2006/relationships/hyperlink" Target="http://www.narodnikvalifikace.cz/kvalifikace-544/revize-2001" TargetMode="External" Id="rId10"/>
  <Relationship Type="http://schemas.openxmlformats.org/officeDocument/2006/relationships/hyperlink" Target="http://www.narodnikvalifikace.cz/kvalifikace-239/revize-2610" TargetMode="External" Id="rId11"/>
  <Relationship Type="http://schemas.openxmlformats.org/officeDocument/2006/relationships/hyperlink" Target="http://www.narodnikvalifikace.cz/kvalifikace-606/revize-931" TargetMode="External" Id="rId12"/>
  <Relationship Type="http://schemas.openxmlformats.org/officeDocument/2006/relationships/hyperlink" Target="http://www.narodnikvalifikace.cz/kvalifikace-655/revize-996" TargetMode="External" Id="rId13"/>
  <Relationship Type="http://schemas.openxmlformats.org/officeDocument/2006/relationships/hyperlink" Target="http://www.narodnikvalifikace.cz/kvalifikace-654/revize-1001" TargetMode="External" Id="rId14"/>
  <Relationship Type="http://schemas.openxmlformats.org/officeDocument/2006/relationships/hyperlink" Target="http://www.narodnikvalifikace.cz/kvalifikace-293/revize-1318" TargetMode="External" Id="rId15"/>
  <Relationship Type="http://schemas.openxmlformats.org/officeDocument/2006/relationships/hyperlink" Target="https://creativecommons.org/licenses/by-sa/4.0/deed.cs" TargetMode="External" Id="rId16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