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čteme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čtenářské gramotnosti.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zásadní pro celou vzdělávací oblast a pokrývá obsahový okruh Neumělecký text a informace.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čtenářských dovedností žáků a jeho smyslem je upevnění a další rozvoj dovedností v oblasti práce s informacemi. Žáci se učí rozlišovat mezi různými typy textů a osvojují si dovednost toto rozlišení zdůvodnit. Předmětem modulu je také zpracování informací ze čteného textu a jejich základní interpretace. V modulu se pracuje se souvislými (lineárními) i nesouvislými (nelineárními) texty včetně jejich kombinací. Žáci si v modulu rovněž osvojují dovednosti sebeprezentace a obhajoby vlastních názorů.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nalezne požadované informace v tištěném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 význam konkrétní části tištěného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podstatné a nepodstatné informace a obhájí své tvrzení;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v tištěném textu fakta a domněnky;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objasní, kdo je autorem a kdo příjemcem textu (využije znalostí slohotvorných činitelů);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prezentuje vlastní názor na text a obhájí vlastní tvrzení;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orientuje se ve zdrojích informací (knihovny, noviny, časopisy, internet, bulvár).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rozvoj čtenářské gramotnosti žáků. Žáci se učí kritické práci s informacemi od jejich příjmu přes posouzení až k jejich samostatnému zpracování. Pracuje se s tištěnými souvislými i nesouvislými (graf, obrázek, mapa, tabulka, schéma…) texty.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tematickými soubory úloh zaměřenými na rozvoj a ověřování čtenářských dovedností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pracovními listy k tištěným textům (práce s úlohami i pracovními listy může probíhat individuálně i ve skupinách)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zpracování přečteného textu do formy prezentace a její předvedení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obhajoba prezentace v diskusi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řízená diskuse k problematice prezentování faktů, názorů a domněnek prostřednictvím mluveného slova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ukázkami obsahujícími prvky manipulativního charakteru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nejrůznějšími zdroji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nalezne požadované informace v tištěném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 význam konkrétní části tištěného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podstatné a nepodstatné informace a obhájí své tvrzení;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v tištěném textu fakta a domněnky;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objasní, kdo je autorem a kdo příjemcem textu (využije znalostí slohotvorných činitelů);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orientuje se ve zdrojích informací (knihovny, noviny, časopisy, internet, bulvár);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a)–e) a g) jsou ověřovány v závěru modulu souhrnným testem, jehož specifikací jsou předmětné výsledky učení. Základní nastavení specifikace testu je asi 17%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prezentuje vlastní názor na text a obhájí vlastní tvrzení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individuální prezentace žáka a obhajobou jeho prezentace v následné diskusi řízené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a)–e) a g)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hodnocení. Při vhodně užitých souborech úloh / pracovních listech lze sledovat dosažený pokrok každého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f) je hodnocen na základě průběžného hodnocení, a to na škále uspěl – neuspěl.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pro celkovou klasifikaci výborný – dostatečný je hodnocení uspěl u výsledku učení f).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Starý, K. a kol.: Úlohy pro rozvoj čtenářské gramotnosti. Praha, ČŠI 2013.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https://www.csicr.cz/getattachment/Prave-menu/Mezinarodni-setreni/Vyuziti-vysledku-vyzkumu/Vyuziti-vysledku-vyzkumu-seznam-clanku/Ulohy-pro-rozvoj-ctenarske-gramotnosti/Ulohy_pro_rozvoj_ctenarske_gramotnosti.pdf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Kritické listy: občasník pro kritické myšlení.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Slovník spisovné češtiny pro školu a veřejnost. Praha, Academia 1994.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Slovník spisovného jazyka českého. Praha, Nakladatelství ČSAV, 1960–1971, 4 sv.; reedice Academia, Praha 1989, 8 sv.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Příruční slovník jazyka českého. Praha, Státní nakladatelství / SPN, 1935–1957.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Nový akademický slovník cizích slov. Praha, Academia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 slova v češtině. Praha, Academia 1998.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 slova v češtině 2. Praha, Academia 2004.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Hugo, J.: a kol.: Slovník nespisovné češtiny. Praha, Maxdorf 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sbírky testových úloh, 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Bolechová.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csicr.cz/getattachment/Prave-menu/Mezinarodni-setreni/Vyuziti-vysledku-vyzkumu/Vyuziti-vysledku-vyzkumu-seznam-clanku/Ulohy-pro-rozvoj-ctenarske-gramotnosti/Ulohy_pro_rozvoj_ctenarske_gramotnosti.pdf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