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CH2 Organická chemie –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vlastnostmi atomu uhlíku, základy názvosloví organických sloučenin a použitím organické sloučeniny v běžném životě a odborné praxi. S jednoduchými chemickými výpočty, které lze využít v odborné praxi. Žáci jsou vedeni k tomu, aby se orientovali v charakteristice vybraných organických sloučenin. Vyučovací modul je koncipován jako všeobecně vzdělávací s průpravnou funkcí směrem k odborné složce středního vzdělávání ukončené maturitní zkouškou.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chemie, fyziky a matematiky, a dále je rozvíjí zejména směrem k aplikacím v oboru.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klasifikace a názvosloví organických sloučenin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vazby organických sloučenin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typy reakcí v organické chemii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organické sloučeniny v běžném životě a v odborné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ukončené maturitní zkouškou)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 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zhodnotí postavení atomu uhlíku v periodické soustavě prvků z hlediska počtu a vlastností organických sloučenin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skupiny uhlovodíků a jejich deriváty a tvoří jejich chemické vzorce a názvy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významné zástupce organických sloučenin a zhodnotí jejich využití v odborné praxi a v běžném životě, posoudí je z hlediska vlivu na zdraví a životní prostředí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typy reakcí organických sloučenin a dokáže je využít v chemické analýze v daném oboru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biogenní prvky a jejich sloučeniny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složení, výskyt a funkce nejdůležitějších přírodních látek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vlastnosti atomu uhlíku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klasifikace a názvosloví organických sloučenin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typy reakcí v organické chemii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organické sloučeniny v běžném životě a v odborné praxi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učitele s ilustračními příklady – navazuje na základní vzdělání a doplňuje příklady z oboru vzdělání, zde praktické činnosti a situace v oblasti zemědělství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pokusy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v chemii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učivu,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pozorování činností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didaktický test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postavení atomu uhlíku v periodické soustavě prvků z hlediska počtu a vlastností organických sloučenin. Max. 10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skupiny uhlovodíků a jejich deriváty a tvoří jejich chemické vzorce a názvy. Max. 20 bodů.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významné zástupce organických sloučenin a zhodnotí jejich využití v odborné praxi a v běžném životě, posoudí je z hlediska vlivu na zdraví a životní prostředí. Max. 20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typy reakcí organických sloučenin a dokáže je využít v chemické analýze v daném oboru. Max. 20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biogenní prvky a jejich sloučeniny. Max. 10 bodů.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složení, výskyt a funkce nejdůležitějších přírodních látek. Max.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Biochemie. 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