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Pravěké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Pravěké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03. 2019 23:53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žáka zorientovat se v termínech pravěkého umění a naučit ho pracovat s odbornou literaturou. Žák aplikuje odborné termíny v kontextu chronologického vývoje pravěkého umění (doba kamenná, bronzová a železná), vývoje jednotlivých uměleckých disciplín a vývoje způsobu života v jednotlivých etapách pravěku. Žák vychází z výukových materiálů učitele, alespoň dvou doporučených publikací a nejméně jednoho ověřeného internetového zdroje.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jednotlivá období pravěku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doba kamenná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doba bronzová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doba železná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etapya  chronologicky seřadí a popíše hlavní rysy, nejvýznamnější kultury a projevy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terminologii, odpovídající klasifikaci pravěkého výtvarného umění a kultury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členěním a datací jednotlivých vývojových etap pravěkého umění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pravěká architekturu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pravěkou malbu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pravěké sochařství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užité umění v pravěku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význam pravěkého umění pro další vývoj společnosti a kultur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odbornou literaturou pod vedením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se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klasifikace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výtvarné přípravy, výtvarné technologie a malby.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frontální výuka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obrazová poznávačka s prezentací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skupinová práce s literaturou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poznámkový aparát (psací potřeby, papíry)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dataprojektoru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Smartboard/Whiteboard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powerpointová prezentace teoretická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powerpointová prezentace obrazová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klasifikačního testu s hodnotícími kritérii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Vybraná odborná literatura k tématu - podle počtu skupin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skupinová práce s odbornou literaturou: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 - vyhodnocení a schválení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prezentace před žáky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samostatná klasifikační práce:
	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vypracování klasifikační práce žákem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hodnocení pedagogem</w:t>
      </w:r>
    </w:p>
    <w:p xmlns:w="http://schemas.openxmlformats.org/wordprocessingml/2006/main">
      <w:pPr>
        <w:pStyle w:val="ListParagraph"/>
        <w:numPr>
          <w:ilvl w:val="1"/>
          <w:numId w:val="11"/>
        </w:numPr>
      </w:pPr>
      <w:r>
        <w:t xml:space="preserve">klasifikace pedagogem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samostatné klasifikační práce: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teoretická část 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zpracování základních informací v rámci zadaného tématu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stylistika a řazení textu odpovídá odborné práci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odpovídající formulace a použití správné terminologie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využití relevantních zdrojů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praktická část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prezentace s odpovídající obrazovou dokumentací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závěr
	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shnrnutí informací</w:t>
      </w:r>
    </w:p>
    <w:p xmlns:w="http://schemas.openxmlformats.org/wordprocessingml/2006/main">
      <w:pPr>
        <w:pStyle w:val="ListParagraph"/>
        <w:numPr>
          <w:ilvl w:val="1"/>
          <w:numId w:val="12"/>
        </w:numPr>
      </w:pPr>
      <w:r>
        <w:t xml:space="preserve">zodpovězení otázek k tématu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6 až10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skupinová práce s odbornou literaturou a internetovými zdroji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samostatná klasifikační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správnost a dostatek informací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správné řazení a členění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charakteristika a vývoj v jednotlivých uměleckých disciplínách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vývoj způsobu života a vazba na vývoj umění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adekvátní použití terminologie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památky a naleziště v zahraničí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souvislá prezentace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památky a naleziště u nás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klasifikační práce: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úspěšné splnění je podmínkou pro úspěšné absolvování modulu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kritéria hodnocení:
	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1 výborný - 24-22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2 chvalitebný - 21-17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3dobrý  - 16-10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4 dostatečný - 9-5 bodů</w:t>
      </w:r>
    </w:p>
    <w:p xmlns:w="http://schemas.openxmlformats.org/wordprocessingml/2006/main">
      <w:pPr>
        <w:pStyle w:val="ListParagraph"/>
        <w:numPr>
          <w:ilvl w:val="1"/>
          <w:numId w:val="15"/>
        </w:numPr>
      </w:pPr>
      <w:r>
        <w:t xml:space="preserve">hranice úspěšnosti - 4 body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PIJOAN, José. Dějiny umění. Odeon : Praha, 1998. ISBN: 80-7176-765-4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SYROVÝ, Bohuslav. Architektura – svědectví dob. SNTL : Praha, 1974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GOMBRICH, H. Ernst. Příběh umění. ARGO : Praha, 1997. ISBN: 80-7203-143-0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MRÁZ, Bohumír. Dějiny výtvarné kultury 1. IDEA SERVIS : Praha, 2002. ISBN: 80-85970-39-2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ČERNÁ, Marie. Dějiny výtvrného umění. GAUDETOP : Praha, 2012. ISBN: 978–80–85970–93–7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RESENI_pravek.docx</w:t>
        </w:r>
      </w:hyperlink>
    </w:p>
    <w:p xmlns:w="http://schemas.openxmlformats.org/wordprocessingml/2006/main">
      <w:pPr>
        <w:pStyle w:val="ListParagraph"/>
        <w:numPr>
          <w:ilvl w:val="0"/>
          <w:numId w:val="1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ZADANI_pravek.docx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Kristýna Boháčová.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013/RESENI_pravek.docx" TargetMode="External" Id="rId9"/>
  <Relationship Type="http://schemas.openxmlformats.org/officeDocument/2006/relationships/hyperlink" Target="https://mov.nuv.cz/uploads/mov/attachment/attachment/82014/ZADANI_pravek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